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0BF" w:rsidRPr="00BD21AD" w:rsidRDefault="002310BF" w:rsidP="00BD21AD">
      <w:pPr>
        <w:spacing w:line="276" w:lineRule="auto"/>
        <w:jc w:val="both"/>
        <w:rPr>
          <w:rFonts w:ascii="Times New Roman" w:hAnsi="Times New Roman" w:cs="Times New Roman"/>
          <w:b/>
          <w:sz w:val="24"/>
          <w:szCs w:val="24"/>
          <w:u w:val="single"/>
          <w:lang w:val="en-US"/>
        </w:rPr>
      </w:pPr>
    </w:p>
    <w:p w:rsidR="002310BF" w:rsidRPr="00BD21AD" w:rsidRDefault="002310BF" w:rsidP="00BD21AD">
      <w:pPr>
        <w:spacing w:line="276" w:lineRule="auto"/>
        <w:jc w:val="both"/>
        <w:rPr>
          <w:rFonts w:ascii="Times New Roman" w:hAnsi="Times New Roman" w:cs="Times New Roman"/>
          <w:sz w:val="24"/>
          <w:szCs w:val="24"/>
        </w:rPr>
      </w:pPr>
      <w:r w:rsidRPr="00BD21AD">
        <w:rPr>
          <w:rFonts w:ascii="Times New Roman" w:hAnsi="Times New Roman" w:cs="Times New Roman"/>
          <w:sz w:val="24"/>
          <w:szCs w:val="24"/>
        </w:rPr>
        <w:t>Обучението</w:t>
      </w:r>
      <w:r w:rsidR="0082117F" w:rsidRPr="00BD21AD">
        <w:rPr>
          <w:rFonts w:ascii="Times New Roman" w:hAnsi="Times New Roman" w:cs="Times New Roman"/>
          <w:sz w:val="24"/>
          <w:szCs w:val="24"/>
        </w:rPr>
        <w:t xml:space="preserve"> на МИГ</w:t>
      </w:r>
      <w:r w:rsidRPr="00BD21AD">
        <w:rPr>
          <w:rFonts w:ascii="Times New Roman" w:hAnsi="Times New Roman" w:cs="Times New Roman"/>
          <w:sz w:val="24"/>
          <w:szCs w:val="24"/>
        </w:rPr>
        <w:t>, което се проведе на 29.07.2021г.</w:t>
      </w:r>
      <w:r w:rsidR="00096724" w:rsidRPr="00BD21AD">
        <w:rPr>
          <w:rFonts w:ascii="Times New Roman" w:hAnsi="Times New Roman" w:cs="Times New Roman"/>
          <w:sz w:val="24"/>
          <w:szCs w:val="24"/>
        </w:rPr>
        <w:t>,</w:t>
      </w:r>
      <w:r w:rsidRPr="00BD21AD">
        <w:rPr>
          <w:rFonts w:ascii="Times New Roman" w:hAnsi="Times New Roman" w:cs="Times New Roman"/>
          <w:sz w:val="24"/>
          <w:szCs w:val="24"/>
        </w:rPr>
        <w:t xml:space="preserve"> обхвана</w:t>
      </w:r>
      <w:r w:rsidRPr="00BD21AD">
        <w:rPr>
          <w:sz w:val="24"/>
          <w:szCs w:val="24"/>
        </w:rPr>
        <w:t xml:space="preserve"> </w:t>
      </w:r>
      <w:r w:rsidRPr="00BD21AD">
        <w:rPr>
          <w:rFonts w:ascii="Times New Roman" w:hAnsi="Times New Roman" w:cs="Times New Roman"/>
          <w:sz w:val="24"/>
          <w:szCs w:val="24"/>
        </w:rPr>
        <w:t>прилагането на Постановление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европейските структурни и инвестиционни фондове, Закон за обществените поръчки</w:t>
      </w:r>
      <w:r w:rsidR="008C3042" w:rsidRPr="00BD21AD">
        <w:rPr>
          <w:rFonts w:ascii="Times New Roman" w:hAnsi="Times New Roman" w:cs="Times New Roman"/>
          <w:sz w:val="24"/>
          <w:szCs w:val="24"/>
        </w:rPr>
        <w:t xml:space="preserve"> /ЗОП/</w:t>
      </w:r>
      <w:r w:rsidRPr="00BD21AD">
        <w:rPr>
          <w:rFonts w:ascii="Times New Roman" w:hAnsi="Times New Roman" w:cs="Times New Roman"/>
          <w:sz w:val="24"/>
          <w:szCs w:val="24"/>
        </w:rPr>
        <w:t xml:space="preserve">, осъществяване на предварителен/последващ контрол, сключване на допълнителни споразумения, подаване на </w:t>
      </w:r>
      <w:r w:rsidR="00A042EE" w:rsidRPr="00BD21AD">
        <w:rPr>
          <w:rFonts w:ascii="Times New Roman" w:hAnsi="Times New Roman" w:cs="Times New Roman"/>
          <w:sz w:val="24"/>
          <w:szCs w:val="24"/>
        </w:rPr>
        <w:t>заявки за плащане и мониторинг.</w:t>
      </w:r>
    </w:p>
    <w:p w:rsidR="002310BF" w:rsidRPr="00BD21AD" w:rsidRDefault="002310BF" w:rsidP="00BD21AD">
      <w:pPr>
        <w:spacing w:line="276" w:lineRule="auto"/>
        <w:jc w:val="both"/>
        <w:rPr>
          <w:rFonts w:ascii="Times New Roman" w:hAnsi="Times New Roman" w:cs="Times New Roman"/>
          <w:sz w:val="24"/>
          <w:szCs w:val="24"/>
        </w:rPr>
      </w:pPr>
      <w:r w:rsidRPr="00BD21AD">
        <w:rPr>
          <w:rFonts w:ascii="Times New Roman" w:hAnsi="Times New Roman" w:cs="Times New Roman"/>
          <w:sz w:val="24"/>
          <w:szCs w:val="24"/>
        </w:rPr>
        <w:t>С</w:t>
      </w:r>
      <w:r w:rsidR="00A042EE" w:rsidRPr="00BD21AD">
        <w:rPr>
          <w:rFonts w:ascii="Times New Roman" w:hAnsi="Times New Roman" w:cs="Times New Roman"/>
          <w:sz w:val="24"/>
          <w:szCs w:val="24"/>
        </w:rPr>
        <w:t xml:space="preserve">лед приключване на срещата беше проведена дискусия и бяха предоставени допълнителни разяснения по зададените въпроси от страна на </w:t>
      </w:r>
      <w:r w:rsidR="009F5556" w:rsidRPr="00BD21AD">
        <w:rPr>
          <w:rFonts w:ascii="Times New Roman" w:hAnsi="Times New Roman" w:cs="Times New Roman"/>
          <w:sz w:val="24"/>
          <w:szCs w:val="24"/>
        </w:rPr>
        <w:t xml:space="preserve">представителите на </w:t>
      </w:r>
      <w:r w:rsidR="00A042EE" w:rsidRPr="00BD21AD">
        <w:rPr>
          <w:rFonts w:ascii="Times New Roman" w:hAnsi="Times New Roman" w:cs="Times New Roman"/>
          <w:sz w:val="24"/>
          <w:szCs w:val="24"/>
        </w:rPr>
        <w:t>МИГ.</w:t>
      </w:r>
    </w:p>
    <w:p w:rsidR="00A042EE" w:rsidRPr="00BD21AD" w:rsidRDefault="00A042EE" w:rsidP="00BD21AD">
      <w:pPr>
        <w:spacing w:line="276" w:lineRule="auto"/>
        <w:jc w:val="both"/>
        <w:rPr>
          <w:rFonts w:ascii="Times New Roman" w:hAnsi="Times New Roman" w:cs="Times New Roman"/>
          <w:b/>
          <w:sz w:val="24"/>
          <w:szCs w:val="24"/>
          <w:u w:val="single"/>
        </w:rPr>
      </w:pPr>
    </w:p>
    <w:p w:rsidR="002310BF" w:rsidRPr="00BD21AD" w:rsidRDefault="003D0048" w:rsidP="00BD21AD">
      <w:pPr>
        <w:spacing w:line="276" w:lineRule="auto"/>
        <w:jc w:val="both"/>
        <w:rPr>
          <w:rFonts w:ascii="Times New Roman" w:hAnsi="Times New Roman" w:cs="Times New Roman"/>
          <w:sz w:val="24"/>
          <w:szCs w:val="24"/>
          <w:u w:val="single"/>
        </w:rPr>
      </w:pPr>
      <w:r w:rsidRPr="00BD21AD">
        <w:rPr>
          <w:rFonts w:ascii="Times New Roman" w:hAnsi="Times New Roman" w:cs="Times New Roman"/>
          <w:sz w:val="24"/>
          <w:szCs w:val="24"/>
          <w:u w:val="single"/>
        </w:rPr>
        <w:t>Въпроси, които бяха зададени</w:t>
      </w:r>
      <w:r w:rsidR="002310BF" w:rsidRPr="00BD21AD">
        <w:rPr>
          <w:rFonts w:ascii="Times New Roman" w:hAnsi="Times New Roman" w:cs="Times New Roman"/>
          <w:sz w:val="24"/>
          <w:szCs w:val="24"/>
          <w:u w:val="single"/>
        </w:rPr>
        <w:t xml:space="preserve"> от страна на МИГ след приключеното обучение на 29.07.2021г.</w:t>
      </w:r>
    </w:p>
    <w:p w:rsidR="002310BF" w:rsidRPr="00BD21AD" w:rsidRDefault="002310BF" w:rsidP="00BD21AD">
      <w:pPr>
        <w:spacing w:line="276" w:lineRule="auto"/>
        <w:jc w:val="both"/>
        <w:rPr>
          <w:rFonts w:ascii="Times New Roman" w:hAnsi="Times New Roman" w:cs="Times New Roman"/>
          <w:b/>
          <w:color w:val="00B050"/>
          <w:sz w:val="24"/>
          <w:szCs w:val="24"/>
        </w:rPr>
      </w:pPr>
    </w:p>
    <w:p w:rsidR="00A042EE" w:rsidRPr="004D679F" w:rsidRDefault="00A042EE" w:rsidP="00BD21AD">
      <w:pPr>
        <w:spacing w:line="276" w:lineRule="auto"/>
        <w:jc w:val="both"/>
        <w:rPr>
          <w:rFonts w:ascii="Times New Roman" w:hAnsi="Times New Roman" w:cs="Times New Roman"/>
          <w:b/>
          <w:sz w:val="24"/>
          <w:szCs w:val="24"/>
          <w:u w:val="single"/>
        </w:rPr>
      </w:pPr>
      <w:r w:rsidRPr="004D679F">
        <w:rPr>
          <w:rFonts w:ascii="Times New Roman" w:hAnsi="Times New Roman" w:cs="Times New Roman"/>
          <w:b/>
          <w:sz w:val="24"/>
          <w:szCs w:val="24"/>
          <w:u w:val="single"/>
        </w:rPr>
        <w:t>1. Какво съласувателно писмо следва да се представи от страна на МИГ, когато бенефициентът е подал искане за изменение/допълнен</w:t>
      </w:r>
      <w:r w:rsidR="008C3042" w:rsidRPr="004D679F">
        <w:rPr>
          <w:rFonts w:ascii="Times New Roman" w:hAnsi="Times New Roman" w:cs="Times New Roman"/>
          <w:b/>
          <w:sz w:val="24"/>
          <w:szCs w:val="24"/>
          <w:u w:val="single"/>
        </w:rPr>
        <w:t xml:space="preserve">ие на административния договор, което касае последващ контрол на вече проведени </w:t>
      </w:r>
      <w:r w:rsidR="005C34A6" w:rsidRPr="004D679F">
        <w:rPr>
          <w:rFonts w:ascii="Times New Roman" w:hAnsi="Times New Roman" w:cs="Times New Roman"/>
          <w:b/>
          <w:sz w:val="24"/>
          <w:szCs w:val="24"/>
          <w:u w:val="single"/>
        </w:rPr>
        <w:t>процедури по реда на ПМС 160</w:t>
      </w:r>
      <w:r w:rsidR="008C3042" w:rsidRPr="004D679F">
        <w:rPr>
          <w:rFonts w:ascii="Times New Roman" w:hAnsi="Times New Roman" w:cs="Times New Roman"/>
          <w:b/>
          <w:sz w:val="24"/>
          <w:szCs w:val="24"/>
          <w:u w:val="single"/>
        </w:rPr>
        <w:t xml:space="preserve"> от 1 юли 2016 г.</w:t>
      </w:r>
      <w:r w:rsidR="004E38F6" w:rsidRPr="004D679F">
        <w:rPr>
          <w:rFonts w:ascii="Times New Roman" w:hAnsi="Times New Roman" w:cs="Times New Roman"/>
          <w:b/>
          <w:sz w:val="24"/>
          <w:szCs w:val="24"/>
          <w:u w:val="single"/>
        </w:rPr>
        <w:t xml:space="preserve"> и ЗОП?</w:t>
      </w:r>
      <w:r w:rsidR="008C3042" w:rsidRPr="004D679F">
        <w:rPr>
          <w:rFonts w:ascii="Times New Roman" w:hAnsi="Times New Roman" w:cs="Times New Roman"/>
          <w:b/>
          <w:sz w:val="24"/>
          <w:szCs w:val="24"/>
          <w:u w:val="single"/>
        </w:rPr>
        <w:t xml:space="preserve"> Следва ли МИГ да се произнася по представените документи</w:t>
      </w:r>
      <w:r w:rsidR="00DF2033" w:rsidRPr="004D679F">
        <w:rPr>
          <w:rFonts w:ascii="Times New Roman" w:hAnsi="Times New Roman" w:cs="Times New Roman"/>
          <w:b/>
          <w:sz w:val="24"/>
          <w:szCs w:val="24"/>
          <w:u w:val="single"/>
        </w:rPr>
        <w:t xml:space="preserve"> или само уведоми бенефициента и ДФЗ</w:t>
      </w:r>
      <w:r w:rsidR="008C3042" w:rsidRPr="004D679F">
        <w:rPr>
          <w:rFonts w:ascii="Times New Roman" w:hAnsi="Times New Roman" w:cs="Times New Roman"/>
          <w:b/>
          <w:sz w:val="24"/>
          <w:szCs w:val="24"/>
          <w:u w:val="single"/>
        </w:rPr>
        <w:t>?</w:t>
      </w:r>
    </w:p>
    <w:p w:rsidR="00A37464" w:rsidRPr="004D679F" w:rsidRDefault="007D6AA9" w:rsidP="00BD21AD">
      <w:pPr>
        <w:spacing w:line="276" w:lineRule="auto"/>
        <w:jc w:val="both"/>
        <w:rPr>
          <w:rFonts w:ascii="Times New Roman" w:hAnsi="Times New Roman" w:cs="Times New Roman"/>
          <w:b/>
          <w:sz w:val="24"/>
          <w:szCs w:val="24"/>
        </w:rPr>
      </w:pPr>
      <w:r w:rsidRPr="004D679F">
        <w:rPr>
          <w:rFonts w:ascii="Times New Roman" w:hAnsi="Times New Roman" w:cs="Times New Roman"/>
          <w:sz w:val="24"/>
          <w:szCs w:val="24"/>
        </w:rPr>
        <w:t>Имайки предвид, че в административния договор е заложно изискване ….</w:t>
      </w:r>
      <w:r w:rsidR="00A37464" w:rsidRPr="004D679F">
        <w:rPr>
          <w:rFonts w:ascii="Times New Roman" w:hAnsi="Times New Roman" w:cs="Times New Roman"/>
          <w:sz w:val="24"/>
          <w:szCs w:val="24"/>
        </w:rPr>
        <w:t>Чл. 19.(1) Изменение и/или допълнение на договора може да се извърши по заявление на БЕНЕФИЦИЕНТА и след одобрението му от МИГ.</w:t>
      </w:r>
    </w:p>
    <w:p w:rsidR="00A37464" w:rsidRPr="004D679F" w:rsidRDefault="00A37464" w:rsidP="00BD21AD">
      <w:pPr>
        <w:spacing w:line="276" w:lineRule="auto"/>
        <w:jc w:val="both"/>
        <w:rPr>
          <w:rFonts w:ascii="Times New Roman" w:hAnsi="Times New Roman" w:cs="Times New Roman"/>
          <w:sz w:val="24"/>
          <w:szCs w:val="24"/>
          <w:lang w:val="en-US"/>
        </w:rPr>
      </w:pPr>
      <w:r w:rsidRPr="004D679F">
        <w:rPr>
          <w:rFonts w:ascii="Times New Roman" w:hAnsi="Times New Roman" w:cs="Times New Roman"/>
          <w:sz w:val="24"/>
          <w:szCs w:val="24"/>
        </w:rPr>
        <w:t>(2) Местната инициативна група уведомява ФОНДА за одобреното заявление за промяна на договора за предоставяне на финансова помощ не по-късно от два месеца преди изтичането на срока на договора с получателя на финансова помощ от административния договор следва да се представи.</w:t>
      </w:r>
    </w:p>
    <w:p w:rsidR="00DF2033" w:rsidRPr="00BD21AD" w:rsidRDefault="007D6AA9" w:rsidP="00BD21AD">
      <w:pPr>
        <w:spacing w:line="276" w:lineRule="auto"/>
        <w:jc w:val="both"/>
        <w:rPr>
          <w:rFonts w:ascii="Times New Roman" w:hAnsi="Times New Roman" w:cs="Times New Roman"/>
          <w:sz w:val="24"/>
          <w:szCs w:val="24"/>
        </w:rPr>
      </w:pPr>
      <w:r w:rsidRPr="004D679F">
        <w:rPr>
          <w:rFonts w:ascii="Times New Roman" w:hAnsi="Times New Roman" w:cs="Times New Roman"/>
          <w:sz w:val="24"/>
          <w:szCs w:val="24"/>
        </w:rPr>
        <w:t xml:space="preserve">Ви уведомямаваме, че когато </w:t>
      </w:r>
      <w:r w:rsidR="00A37464" w:rsidRPr="004D679F">
        <w:rPr>
          <w:rFonts w:ascii="Times New Roman" w:hAnsi="Times New Roman" w:cs="Times New Roman"/>
          <w:sz w:val="24"/>
          <w:szCs w:val="24"/>
        </w:rPr>
        <w:t>искането за изменение на административния договор касае контрол след проведена процедура по реда на ЗОП или ПМС 160 и впис</w:t>
      </w:r>
      <w:r w:rsidRPr="004D679F">
        <w:rPr>
          <w:rFonts w:ascii="Times New Roman" w:hAnsi="Times New Roman" w:cs="Times New Roman"/>
          <w:sz w:val="24"/>
          <w:szCs w:val="24"/>
        </w:rPr>
        <w:t>ване на изпълнител, то МИГ не осъществяват последващ контрол, тъй като тази проверка се осъществява по утвърдена от ДФ</w:t>
      </w:r>
      <w:r w:rsidR="004D679F">
        <w:rPr>
          <w:rFonts w:ascii="Times New Roman" w:hAnsi="Times New Roman" w:cs="Times New Roman"/>
          <w:sz w:val="24"/>
          <w:szCs w:val="24"/>
        </w:rPr>
        <w:t xml:space="preserve"> „</w:t>
      </w:r>
      <w:r w:rsidRPr="004D679F">
        <w:rPr>
          <w:rFonts w:ascii="Times New Roman" w:hAnsi="Times New Roman" w:cs="Times New Roman"/>
          <w:sz w:val="24"/>
          <w:szCs w:val="24"/>
        </w:rPr>
        <w:t>З</w:t>
      </w:r>
      <w:r w:rsidR="004D679F">
        <w:rPr>
          <w:rFonts w:ascii="Times New Roman" w:hAnsi="Times New Roman" w:cs="Times New Roman"/>
          <w:sz w:val="24"/>
          <w:szCs w:val="24"/>
        </w:rPr>
        <w:t>емеделие“</w:t>
      </w:r>
      <w:r w:rsidRPr="004D679F">
        <w:rPr>
          <w:rFonts w:ascii="Times New Roman" w:hAnsi="Times New Roman" w:cs="Times New Roman"/>
          <w:sz w:val="24"/>
          <w:szCs w:val="24"/>
        </w:rPr>
        <w:t xml:space="preserve"> процедура. Достатъчно е само вашето съгласие.</w:t>
      </w:r>
      <w:r w:rsidR="004D679F">
        <w:rPr>
          <w:rFonts w:ascii="Times New Roman" w:hAnsi="Times New Roman" w:cs="Times New Roman"/>
          <w:sz w:val="24"/>
          <w:szCs w:val="24"/>
        </w:rPr>
        <w:t xml:space="preserve"> </w:t>
      </w:r>
    </w:p>
    <w:p w:rsidR="004E38F6" w:rsidRPr="00953446" w:rsidRDefault="004E38F6" w:rsidP="00BD21AD">
      <w:pPr>
        <w:spacing w:line="276" w:lineRule="auto"/>
        <w:jc w:val="both"/>
        <w:rPr>
          <w:rFonts w:ascii="Times New Roman" w:hAnsi="Times New Roman" w:cs="Times New Roman"/>
          <w:b/>
          <w:sz w:val="24"/>
          <w:szCs w:val="24"/>
          <w:u w:val="single"/>
        </w:rPr>
      </w:pPr>
      <w:r w:rsidRPr="00953446">
        <w:rPr>
          <w:rFonts w:ascii="Times New Roman" w:hAnsi="Times New Roman" w:cs="Times New Roman"/>
          <w:b/>
          <w:sz w:val="24"/>
          <w:szCs w:val="24"/>
          <w:u w:val="single"/>
        </w:rPr>
        <w:t>2. Могат ли да се променят активи, които са заложени в проектното предлажение, преди да е приключила оценката на проекта</w:t>
      </w:r>
      <w:r w:rsidR="00FB00E0" w:rsidRPr="00953446">
        <w:rPr>
          <w:rFonts w:ascii="Times New Roman" w:hAnsi="Times New Roman" w:cs="Times New Roman"/>
          <w:b/>
          <w:sz w:val="24"/>
          <w:szCs w:val="24"/>
          <w:u w:val="single"/>
        </w:rPr>
        <w:t xml:space="preserve"> и да е сключен административен договор</w:t>
      </w:r>
      <w:r w:rsidRPr="00953446">
        <w:rPr>
          <w:rFonts w:ascii="Times New Roman" w:hAnsi="Times New Roman" w:cs="Times New Roman"/>
          <w:b/>
          <w:sz w:val="24"/>
          <w:szCs w:val="24"/>
          <w:u w:val="single"/>
        </w:rPr>
        <w:t>?</w:t>
      </w:r>
    </w:p>
    <w:p w:rsidR="006A4D44" w:rsidRPr="00953446" w:rsidRDefault="00F636BB" w:rsidP="00BD21AD">
      <w:pPr>
        <w:spacing w:line="276" w:lineRule="auto"/>
        <w:jc w:val="both"/>
        <w:rPr>
          <w:rFonts w:ascii="Times New Roman" w:hAnsi="Times New Roman" w:cs="Times New Roman"/>
          <w:sz w:val="24"/>
          <w:szCs w:val="24"/>
        </w:rPr>
      </w:pPr>
      <w:r w:rsidRPr="00953446">
        <w:rPr>
          <w:rFonts w:ascii="Times New Roman" w:hAnsi="Times New Roman" w:cs="Times New Roman"/>
          <w:sz w:val="24"/>
          <w:szCs w:val="24"/>
        </w:rPr>
        <w:t xml:space="preserve">1. За кандидати, </w:t>
      </w:r>
      <w:r w:rsidR="006A4D44" w:rsidRPr="00953446">
        <w:rPr>
          <w:rFonts w:ascii="Times New Roman" w:hAnsi="Times New Roman" w:cs="Times New Roman"/>
          <w:sz w:val="24"/>
          <w:szCs w:val="24"/>
        </w:rPr>
        <w:t xml:space="preserve">които са възложители по реда на ПМС 160 или ЗОП не се допуска промяна/изменение на проектното предложение, когато същото е в процес на оценка. </w:t>
      </w:r>
      <w:r w:rsidRPr="00953446">
        <w:rPr>
          <w:rFonts w:ascii="Times New Roman" w:hAnsi="Times New Roman" w:cs="Times New Roman"/>
          <w:sz w:val="24"/>
          <w:szCs w:val="24"/>
        </w:rPr>
        <w:t xml:space="preserve">В случай, че след сключване на административния договор, възникнат обстоятелста, които налагат промяна на вече одобрените разходи/дейности, то </w:t>
      </w:r>
      <w:r w:rsidR="009C3C6C" w:rsidRPr="00953446">
        <w:rPr>
          <w:rFonts w:ascii="Times New Roman" w:hAnsi="Times New Roman" w:cs="Times New Roman"/>
          <w:sz w:val="24"/>
          <w:szCs w:val="24"/>
        </w:rPr>
        <w:t xml:space="preserve">същата </w:t>
      </w:r>
      <w:r w:rsidRPr="00953446">
        <w:rPr>
          <w:rFonts w:ascii="Times New Roman" w:hAnsi="Times New Roman" w:cs="Times New Roman"/>
          <w:sz w:val="24"/>
          <w:szCs w:val="24"/>
        </w:rPr>
        <w:t xml:space="preserve">следва да </w:t>
      </w:r>
      <w:r w:rsidR="009C3C6C" w:rsidRPr="00953446">
        <w:rPr>
          <w:rFonts w:ascii="Times New Roman" w:hAnsi="Times New Roman" w:cs="Times New Roman"/>
          <w:sz w:val="24"/>
          <w:szCs w:val="24"/>
        </w:rPr>
        <w:t xml:space="preserve">бъде съобразена </w:t>
      </w:r>
      <w:r w:rsidR="0049578E" w:rsidRPr="00953446">
        <w:rPr>
          <w:rFonts w:ascii="Times New Roman" w:hAnsi="Times New Roman" w:cs="Times New Roman"/>
          <w:sz w:val="24"/>
          <w:szCs w:val="24"/>
        </w:rPr>
        <w:t xml:space="preserve">с изискванията на </w:t>
      </w:r>
      <w:r w:rsidRPr="00953446">
        <w:rPr>
          <w:rFonts w:ascii="Times New Roman" w:hAnsi="Times New Roman" w:cs="Times New Roman"/>
          <w:sz w:val="24"/>
          <w:szCs w:val="24"/>
        </w:rPr>
        <w:t>раздел „Изменение и прекратяване на договора“</w:t>
      </w:r>
      <w:r w:rsidR="009C3C6C" w:rsidRPr="00953446">
        <w:rPr>
          <w:rFonts w:ascii="Times New Roman" w:hAnsi="Times New Roman" w:cs="Times New Roman"/>
          <w:sz w:val="24"/>
          <w:szCs w:val="24"/>
        </w:rPr>
        <w:t xml:space="preserve"> от административния договор.</w:t>
      </w:r>
    </w:p>
    <w:p w:rsidR="00D7319C" w:rsidRPr="00953446" w:rsidRDefault="006A4D44" w:rsidP="00BD21AD">
      <w:pPr>
        <w:spacing w:line="276" w:lineRule="auto"/>
        <w:jc w:val="both"/>
        <w:rPr>
          <w:rFonts w:ascii="Times New Roman" w:hAnsi="Times New Roman" w:cs="Times New Roman"/>
          <w:sz w:val="24"/>
          <w:szCs w:val="24"/>
        </w:rPr>
      </w:pPr>
      <w:r w:rsidRPr="00953446">
        <w:rPr>
          <w:rFonts w:ascii="Times New Roman" w:hAnsi="Times New Roman" w:cs="Times New Roman"/>
          <w:sz w:val="24"/>
          <w:szCs w:val="24"/>
        </w:rPr>
        <w:t xml:space="preserve">2. За кандидати, които </w:t>
      </w:r>
      <w:r w:rsidRPr="00953446">
        <w:rPr>
          <w:rFonts w:ascii="Times New Roman" w:hAnsi="Times New Roman" w:cs="Times New Roman"/>
          <w:b/>
          <w:sz w:val="24"/>
          <w:szCs w:val="24"/>
          <w:u w:val="single"/>
        </w:rPr>
        <w:t>не</w:t>
      </w:r>
      <w:r w:rsidRPr="00953446">
        <w:rPr>
          <w:rFonts w:ascii="Times New Roman" w:hAnsi="Times New Roman" w:cs="Times New Roman"/>
          <w:sz w:val="24"/>
          <w:szCs w:val="24"/>
        </w:rPr>
        <w:t xml:space="preserve"> са възложители по реда на ПМС 160 или ЗОП,</w:t>
      </w:r>
      <w:r w:rsidR="00782E61" w:rsidRPr="00953446">
        <w:rPr>
          <w:rFonts w:ascii="Times New Roman" w:hAnsi="Times New Roman" w:cs="Times New Roman"/>
          <w:sz w:val="24"/>
          <w:szCs w:val="24"/>
        </w:rPr>
        <w:t xml:space="preserve"> би била допустима</w:t>
      </w:r>
      <w:r w:rsidRPr="00953446">
        <w:rPr>
          <w:rFonts w:ascii="Times New Roman" w:hAnsi="Times New Roman" w:cs="Times New Roman"/>
          <w:sz w:val="24"/>
          <w:szCs w:val="24"/>
        </w:rPr>
        <w:t xml:space="preserve"> </w:t>
      </w:r>
      <w:r w:rsidR="00782E61" w:rsidRPr="00953446">
        <w:rPr>
          <w:rFonts w:ascii="Times New Roman" w:hAnsi="Times New Roman" w:cs="Times New Roman"/>
          <w:sz w:val="24"/>
          <w:szCs w:val="24"/>
        </w:rPr>
        <w:t>промяна в</w:t>
      </w:r>
      <w:r w:rsidRPr="00953446">
        <w:rPr>
          <w:rFonts w:ascii="Times New Roman" w:hAnsi="Times New Roman" w:cs="Times New Roman"/>
          <w:sz w:val="24"/>
          <w:szCs w:val="24"/>
        </w:rPr>
        <w:t xml:space="preserve"> проектното предложение,</w:t>
      </w:r>
      <w:r w:rsidR="004D0727" w:rsidRPr="00953446">
        <w:rPr>
          <w:rFonts w:ascii="Times New Roman" w:hAnsi="Times New Roman" w:cs="Times New Roman"/>
          <w:sz w:val="24"/>
          <w:szCs w:val="24"/>
        </w:rPr>
        <w:t xml:space="preserve"> само когато кандидатът се намира в </w:t>
      </w:r>
      <w:r w:rsidRPr="00953446">
        <w:rPr>
          <w:rFonts w:ascii="Times New Roman" w:hAnsi="Times New Roman" w:cs="Times New Roman"/>
          <w:sz w:val="24"/>
          <w:szCs w:val="24"/>
        </w:rPr>
        <w:t>обективна невъзможност да изпълни инвестицията,</w:t>
      </w:r>
      <w:r w:rsidR="004D0727" w:rsidRPr="00953446">
        <w:rPr>
          <w:rFonts w:ascii="Times New Roman" w:hAnsi="Times New Roman" w:cs="Times New Roman"/>
          <w:sz w:val="24"/>
          <w:szCs w:val="24"/>
        </w:rPr>
        <w:t xml:space="preserve"> за която се кандидатства,</w:t>
      </w:r>
      <w:r w:rsidRPr="00953446">
        <w:rPr>
          <w:rFonts w:ascii="Times New Roman" w:hAnsi="Times New Roman" w:cs="Times New Roman"/>
          <w:sz w:val="24"/>
          <w:szCs w:val="24"/>
        </w:rPr>
        <w:t xml:space="preserve"> поради независещи от него обстоятелства. Исканата промяна </w:t>
      </w:r>
      <w:r w:rsidR="004D0727" w:rsidRPr="00953446">
        <w:rPr>
          <w:rFonts w:ascii="Times New Roman" w:hAnsi="Times New Roman" w:cs="Times New Roman"/>
          <w:sz w:val="24"/>
          <w:szCs w:val="24"/>
        </w:rPr>
        <w:t>трябва да бъде обоснована, за нея следва да бъдат п</w:t>
      </w:r>
      <w:r w:rsidR="00974D9E" w:rsidRPr="00953446">
        <w:rPr>
          <w:rFonts w:ascii="Times New Roman" w:hAnsi="Times New Roman" w:cs="Times New Roman"/>
          <w:sz w:val="24"/>
          <w:szCs w:val="24"/>
        </w:rPr>
        <w:t>редставени необходимите докумен</w:t>
      </w:r>
      <w:r w:rsidR="004D0727" w:rsidRPr="00953446">
        <w:rPr>
          <w:rFonts w:ascii="Times New Roman" w:hAnsi="Times New Roman" w:cs="Times New Roman"/>
          <w:sz w:val="24"/>
          <w:szCs w:val="24"/>
        </w:rPr>
        <w:t xml:space="preserve">ти и същата не следва да бъде в противоречие с </w:t>
      </w:r>
      <w:r w:rsidR="004D0727" w:rsidRPr="00953446">
        <w:rPr>
          <w:rFonts w:ascii="Times New Roman" w:hAnsi="Times New Roman" w:cs="Times New Roman"/>
          <w:sz w:val="24"/>
          <w:szCs w:val="24"/>
        </w:rPr>
        <w:lastRenderedPageBreak/>
        <w:t>утвърдените условия</w:t>
      </w:r>
      <w:r w:rsidR="00FB00E0" w:rsidRPr="00953446">
        <w:rPr>
          <w:rFonts w:ascii="Times New Roman" w:hAnsi="Times New Roman" w:cs="Times New Roman"/>
          <w:sz w:val="24"/>
          <w:szCs w:val="24"/>
        </w:rPr>
        <w:t xml:space="preserve"> за кандидатстване</w:t>
      </w:r>
      <w:r w:rsidR="000F010B" w:rsidRPr="00953446">
        <w:rPr>
          <w:rFonts w:ascii="Times New Roman" w:hAnsi="Times New Roman" w:cs="Times New Roman"/>
          <w:sz w:val="24"/>
          <w:szCs w:val="24"/>
        </w:rPr>
        <w:t>.</w:t>
      </w:r>
      <w:r w:rsidR="00FB00E0" w:rsidRPr="00953446">
        <w:rPr>
          <w:rFonts w:ascii="Times New Roman" w:hAnsi="Times New Roman" w:cs="Times New Roman"/>
          <w:sz w:val="24"/>
          <w:szCs w:val="24"/>
        </w:rPr>
        <w:t xml:space="preserve"> </w:t>
      </w:r>
      <w:r w:rsidR="004D0727" w:rsidRPr="00953446">
        <w:rPr>
          <w:rFonts w:ascii="Times New Roman" w:hAnsi="Times New Roman" w:cs="Times New Roman"/>
          <w:sz w:val="24"/>
          <w:szCs w:val="24"/>
        </w:rPr>
        <w:t>Тя не трябва да води до</w:t>
      </w:r>
      <w:r w:rsidR="00FB00E0" w:rsidRPr="00953446">
        <w:rPr>
          <w:rFonts w:ascii="Times New Roman" w:hAnsi="Times New Roman" w:cs="Times New Roman"/>
          <w:sz w:val="24"/>
          <w:szCs w:val="24"/>
        </w:rPr>
        <w:t xml:space="preserve"> промяна на качеството на проектн</w:t>
      </w:r>
      <w:r w:rsidR="003716BA" w:rsidRPr="00953446">
        <w:rPr>
          <w:rFonts w:ascii="Times New Roman" w:hAnsi="Times New Roman" w:cs="Times New Roman"/>
          <w:sz w:val="24"/>
          <w:szCs w:val="24"/>
        </w:rPr>
        <w:t>ото предложение, с</w:t>
      </w:r>
      <w:r w:rsidR="00D7319C" w:rsidRPr="00953446">
        <w:rPr>
          <w:rFonts w:ascii="Times New Roman" w:hAnsi="Times New Roman" w:cs="Times New Roman"/>
          <w:sz w:val="24"/>
          <w:szCs w:val="24"/>
        </w:rPr>
        <w:t xml:space="preserve">ъгласно изискванията на ЗУСЕСИФ и Постановление № 162 от 5 юли 2016 г. </w:t>
      </w:r>
      <w:r w:rsidR="004D0727" w:rsidRPr="00953446">
        <w:rPr>
          <w:rFonts w:ascii="Times New Roman" w:hAnsi="Times New Roman" w:cs="Times New Roman"/>
          <w:sz w:val="24"/>
          <w:szCs w:val="24"/>
        </w:rPr>
        <w:t>Изменението</w:t>
      </w:r>
      <w:r w:rsidR="00FB00E0" w:rsidRPr="00953446">
        <w:rPr>
          <w:rFonts w:ascii="Times New Roman" w:hAnsi="Times New Roman" w:cs="Times New Roman"/>
          <w:sz w:val="24"/>
          <w:szCs w:val="24"/>
        </w:rPr>
        <w:t xml:space="preserve"> не т</w:t>
      </w:r>
      <w:r w:rsidR="004D0727" w:rsidRPr="00953446">
        <w:rPr>
          <w:rFonts w:ascii="Times New Roman" w:hAnsi="Times New Roman" w:cs="Times New Roman"/>
          <w:sz w:val="24"/>
          <w:szCs w:val="24"/>
        </w:rPr>
        <w:t xml:space="preserve">рява да надвишава първоначално заявената </w:t>
      </w:r>
      <w:r w:rsidR="00FB00E0" w:rsidRPr="00953446">
        <w:rPr>
          <w:rFonts w:ascii="Times New Roman" w:hAnsi="Times New Roman" w:cs="Times New Roman"/>
          <w:sz w:val="24"/>
          <w:szCs w:val="24"/>
        </w:rPr>
        <w:t>сума, за която се кандид</w:t>
      </w:r>
      <w:r w:rsidR="00A37464" w:rsidRPr="00953446">
        <w:rPr>
          <w:rFonts w:ascii="Times New Roman" w:hAnsi="Times New Roman" w:cs="Times New Roman"/>
          <w:sz w:val="24"/>
          <w:szCs w:val="24"/>
        </w:rPr>
        <w:t>атства в проектното предложение и да води до промяна в ТФО на проекта.</w:t>
      </w:r>
    </w:p>
    <w:p w:rsidR="003F1BCC" w:rsidRPr="004D679F" w:rsidRDefault="003F1BCC" w:rsidP="00BD21AD">
      <w:pPr>
        <w:spacing w:line="276" w:lineRule="auto"/>
        <w:jc w:val="both"/>
        <w:rPr>
          <w:rFonts w:ascii="Times New Roman" w:hAnsi="Times New Roman" w:cs="Times New Roman"/>
          <w:b/>
          <w:sz w:val="24"/>
          <w:szCs w:val="24"/>
          <w:u w:val="single"/>
        </w:rPr>
      </w:pPr>
      <w:r w:rsidRPr="004D679F">
        <w:rPr>
          <w:rFonts w:ascii="Times New Roman" w:hAnsi="Times New Roman" w:cs="Times New Roman"/>
          <w:b/>
          <w:sz w:val="24"/>
          <w:szCs w:val="24"/>
          <w:u w:val="single"/>
        </w:rPr>
        <w:t xml:space="preserve">3. </w:t>
      </w:r>
      <w:r w:rsidR="00830E49" w:rsidRPr="004D679F">
        <w:rPr>
          <w:rFonts w:ascii="Times New Roman" w:hAnsi="Times New Roman" w:cs="Times New Roman"/>
          <w:b/>
          <w:sz w:val="24"/>
          <w:szCs w:val="24"/>
          <w:u w:val="single"/>
        </w:rPr>
        <w:t>Кога могат да се променят одобрените технически спецификации</w:t>
      </w:r>
      <w:r w:rsidR="0073595D" w:rsidRPr="004D679F">
        <w:rPr>
          <w:rFonts w:ascii="Times New Roman" w:hAnsi="Times New Roman" w:cs="Times New Roman"/>
          <w:b/>
          <w:sz w:val="24"/>
          <w:szCs w:val="24"/>
          <w:u w:val="single"/>
        </w:rPr>
        <w:t xml:space="preserve"> или количествено-стойностни сметки</w:t>
      </w:r>
      <w:r w:rsidR="00A64B6C" w:rsidRPr="004D679F">
        <w:rPr>
          <w:rFonts w:ascii="Times New Roman" w:hAnsi="Times New Roman" w:cs="Times New Roman"/>
          <w:b/>
          <w:sz w:val="24"/>
          <w:szCs w:val="24"/>
          <w:u w:val="single"/>
        </w:rPr>
        <w:t xml:space="preserve">, заложени в </w:t>
      </w:r>
      <w:r w:rsidR="00830E49" w:rsidRPr="004D679F">
        <w:rPr>
          <w:rFonts w:ascii="Times New Roman" w:hAnsi="Times New Roman" w:cs="Times New Roman"/>
          <w:b/>
          <w:sz w:val="24"/>
          <w:szCs w:val="24"/>
          <w:u w:val="single"/>
        </w:rPr>
        <w:t>сключения административен договор?</w:t>
      </w:r>
    </w:p>
    <w:p w:rsidR="005C34A6" w:rsidRPr="004D679F" w:rsidRDefault="007D3AAB" w:rsidP="00BD21AD">
      <w:pPr>
        <w:tabs>
          <w:tab w:val="left" w:pos="851"/>
        </w:tabs>
        <w:spacing w:line="276" w:lineRule="auto"/>
        <w:jc w:val="both"/>
        <w:rPr>
          <w:rFonts w:ascii="Times New Roman" w:hAnsi="Times New Roman" w:cs="Times New Roman"/>
          <w:sz w:val="24"/>
          <w:szCs w:val="24"/>
          <w:shd w:val="clear" w:color="auto" w:fill="FEFEFE"/>
        </w:rPr>
      </w:pPr>
      <w:r w:rsidRPr="004D679F">
        <w:rPr>
          <w:rFonts w:ascii="Times New Roman" w:hAnsi="Times New Roman" w:cs="Times New Roman"/>
          <w:sz w:val="24"/>
          <w:szCs w:val="24"/>
        </w:rPr>
        <w:t>В административния договор ясно са разписани изискванията з</w:t>
      </w:r>
      <w:r w:rsidR="005C34A6" w:rsidRPr="004D679F">
        <w:rPr>
          <w:rFonts w:ascii="Times New Roman" w:hAnsi="Times New Roman" w:cs="Times New Roman"/>
          <w:sz w:val="24"/>
          <w:szCs w:val="24"/>
        </w:rPr>
        <w:t>а промяна/изменение на договор…</w:t>
      </w:r>
      <w:r w:rsidR="005C34A6" w:rsidRPr="004D679F">
        <w:rPr>
          <w:sz w:val="24"/>
          <w:szCs w:val="24"/>
        </w:rPr>
        <w:t xml:space="preserve"> </w:t>
      </w:r>
      <w:r w:rsidR="005C34A6" w:rsidRPr="004D679F">
        <w:rPr>
          <w:rFonts w:ascii="Times New Roman" w:hAnsi="Times New Roman" w:cs="Times New Roman"/>
          <w:sz w:val="24"/>
          <w:szCs w:val="24"/>
        </w:rPr>
        <w:t xml:space="preserve">„бенефициентът се задължава най-късно до подаването на искане за окончателно плащане, но не по-късно от два месеца преди изтичане на срока по чл. 6, ал. 1 да уведоми </w:t>
      </w:r>
      <w:r w:rsidR="005C34A6" w:rsidRPr="004D679F">
        <w:rPr>
          <w:rFonts w:ascii="Times New Roman" w:hAnsi="Times New Roman" w:cs="Times New Roman"/>
          <w:b/>
          <w:sz w:val="24"/>
          <w:szCs w:val="24"/>
        </w:rPr>
        <w:t>ФОНДА</w:t>
      </w:r>
      <w:r w:rsidR="005C34A6" w:rsidRPr="004D679F">
        <w:rPr>
          <w:rFonts w:ascii="Times New Roman" w:hAnsi="Times New Roman" w:cs="Times New Roman"/>
          <w:sz w:val="24"/>
          <w:szCs w:val="24"/>
        </w:rPr>
        <w:t xml:space="preserve"> за извършени промени в процеса на изпълнение на проекта по отношение на одобрени </w:t>
      </w:r>
      <w:r w:rsidR="005C34A6" w:rsidRPr="004D679F">
        <w:rPr>
          <w:rFonts w:ascii="Times New Roman" w:hAnsi="Times New Roman" w:cs="Times New Roman"/>
          <w:sz w:val="24"/>
          <w:szCs w:val="24"/>
          <w:shd w:val="clear" w:color="auto" w:fill="FEFEFE"/>
        </w:rPr>
        <w:t>технически параметри/спецификации на подпомаганите активи, одобрените количествено-стойностни сметки</w:t>
      </w:r>
      <w:r w:rsidR="005C34A6" w:rsidRPr="004D679F">
        <w:rPr>
          <w:rFonts w:ascii="Times New Roman" w:hAnsi="Times New Roman" w:cs="Times New Roman"/>
          <w:sz w:val="24"/>
          <w:szCs w:val="24"/>
        </w:rPr>
        <w:t xml:space="preserve"> </w:t>
      </w:r>
      <w:r w:rsidR="005C34A6" w:rsidRPr="004D679F">
        <w:rPr>
          <w:rFonts w:ascii="Times New Roman" w:hAnsi="Times New Roman" w:cs="Times New Roman"/>
          <w:sz w:val="24"/>
          <w:szCs w:val="24"/>
          <w:shd w:val="clear" w:color="auto" w:fill="FEFEFE"/>
        </w:rPr>
        <w:t>и/или спецификации на подпомаганите дейности</w:t>
      </w:r>
      <w:r w:rsidR="008D24EC" w:rsidRPr="004D679F">
        <w:rPr>
          <w:rFonts w:ascii="Times New Roman" w:hAnsi="Times New Roman" w:cs="Times New Roman"/>
          <w:sz w:val="24"/>
          <w:szCs w:val="24"/>
          <w:shd w:val="clear" w:color="auto" w:fill="FEFEFE"/>
        </w:rPr>
        <w:t>“...</w:t>
      </w:r>
      <w:r w:rsidR="005C34A6" w:rsidRPr="004D679F">
        <w:rPr>
          <w:rFonts w:ascii="Times New Roman" w:hAnsi="Times New Roman" w:cs="Times New Roman"/>
          <w:sz w:val="24"/>
          <w:szCs w:val="24"/>
          <w:shd w:val="clear" w:color="auto" w:fill="FEFEFE"/>
        </w:rPr>
        <w:t>.</w:t>
      </w:r>
    </w:p>
    <w:p w:rsidR="005C34A6" w:rsidRPr="004D679F" w:rsidRDefault="005C34A6" w:rsidP="00BD21AD">
      <w:pPr>
        <w:tabs>
          <w:tab w:val="left" w:pos="851"/>
        </w:tabs>
        <w:spacing w:line="276" w:lineRule="auto"/>
        <w:ind w:firstLine="360"/>
        <w:jc w:val="both"/>
        <w:rPr>
          <w:rFonts w:ascii="Times New Roman" w:hAnsi="Times New Roman" w:cs="Times New Roman"/>
          <w:sz w:val="24"/>
          <w:szCs w:val="24"/>
          <w:shd w:val="clear" w:color="auto" w:fill="FEFEFE"/>
        </w:rPr>
      </w:pPr>
      <w:r w:rsidRPr="004D679F">
        <w:rPr>
          <w:rFonts w:ascii="Times New Roman" w:hAnsi="Times New Roman" w:cs="Times New Roman"/>
          <w:sz w:val="24"/>
          <w:szCs w:val="24"/>
          <w:shd w:val="clear" w:color="auto" w:fill="FEFEFE"/>
        </w:rPr>
        <w:t>Всяка една промяна след сключване на административен договор следва да бъде съгласувана с ДФЗ</w:t>
      </w:r>
      <w:r w:rsidR="00703941" w:rsidRPr="004D679F">
        <w:rPr>
          <w:rFonts w:ascii="Times New Roman" w:hAnsi="Times New Roman" w:cs="Times New Roman"/>
          <w:sz w:val="24"/>
          <w:szCs w:val="24"/>
          <w:shd w:val="clear" w:color="auto" w:fill="FEFEFE"/>
        </w:rPr>
        <w:t>,</w:t>
      </w:r>
      <w:r w:rsidRPr="004D679F">
        <w:rPr>
          <w:rFonts w:ascii="Times New Roman" w:hAnsi="Times New Roman" w:cs="Times New Roman"/>
          <w:sz w:val="24"/>
          <w:szCs w:val="24"/>
          <w:shd w:val="clear" w:color="auto" w:fill="FEFEFE"/>
        </w:rPr>
        <w:t xml:space="preserve"> преди подаване на заявка за плащане. </w:t>
      </w:r>
    </w:p>
    <w:p w:rsidR="008D24EC" w:rsidRPr="004D679F" w:rsidRDefault="005C34A6" w:rsidP="00BD21AD">
      <w:pPr>
        <w:tabs>
          <w:tab w:val="left" w:pos="851"/>
        </w:tabs>
        <w:spacing w:line="276" w:lineRule="auto"/>
        <w:ind w:firstLine="360"/>
        <w:jc w:val="both"/>
        <w:rPr>
          <w:rFonts w:ascii="Times New Roman" w:hAnsi="Times New Roman" w:cs="Times New Roman"/>
          <w:sz w:val="24"/>
          <w:szCs w:val="24"/>
        </w:rPr>
      </w:pPr>
      <w:r w:rsidRPr="004D679F">
        <w:rPr>
          <w:rFonts w:ascii="Times New Roman" w:hAnsi="Times New Roman" w:cs="Times New Roman"/>
          <w:sz w:val="24"/>
          <w:szCs w:val="24"/>
          <w:shd w:val="clear" w:color="auto" w:fill="FEFEFE"/>
        </w:rPr>
        <w:t xml:space="preserve">Тук е много важно да отбележим, че </w:t>
      </w:r>
      <w:r w:rsidR="008D24EC" w:rsidRPr="004D679F">
        <w:rPr>
          <w:rFonts w:ascii="Times New Roman" w:hAnsi="Times New Roman" w:cs="Times New Roman"/>
          <w:sz w:val="24"/>
          <w:szCs w:val="24"/>
          <w:shd w:val="clear" w:color="auto" w:fill="FEFEFE"/>
        </w:rPr>
        <w:t>всяко едно</w:t>
      </w:r>
      <w:r w:rsidRPr="004D679F">
        <w:rPr>
          <w:rFonts w:ascii="Times New Roman" w:hAnsi="Times New Roman" w:cs="Times New Roman"/>
          <w:sz w:val="24"/>
          <w:szCs w:val="24"/>
          <w:shd w:val="clear" w:color="auto" w:fill="FEFEFE"/>
        </w:rPr>
        <w:t xml:space="preserve"> </w:t>
      </w:r>
      <w:r w:rsidR="00703941" w:rsidRPr="004D679F">
        <w:rPr>
          <w:rFonts w:ascii="Times New Roman" w:hAnsi="Times New Roman" w:cs="Times New Roman"/>
          <w:sz w:val="24"/>
          <w:szCs w:val="24"/>
          <w:shd w:val="clear" w:color="auto" w:fill="FEFEFE"/>
        </w:rPr>
        <w:t xml:space="preserve">изменение, което касае </w:t>
      </w:r>
      <w:r w:rsidR="008D24EC" w:rsidRPr="004D679F">
        <w:rPr>
          <w:rFonts w:ascii="Times New Roman" w:hAnsi="Times New Roman" w:cs="Times New Roman"/>
          <w:sz w:val="24"/>
          <w:szCs w:val="24"/>
          <w:shd w:val="clear" w:color="auto" w:fill="FEFEFE"/>
        </w:rPr>
        <w:t xml:space="preserve">одобрените технически специификации </w:t>
      </w:r>
      <w:r w:rsidR="00D4713D" w:rsidRPr="004D679F">
        <w:rPr>
          <w:rFonts w:ascii="Times New Roman" w:hAnsi="Times New Roman" w:cs="Times New Roman"/>
          <w:sz w:val="24"/>
          <w:szCs w:val="24"/>
          <w:shd w:val="clear" w:color="auto" w:fill="FEFEFE"/>
        </w:rPr>
        <w:t xml:space="preserve">или одобрените количества </w:t>
      </w:r>
      <w:r w:rsidR="00703941" w:rsidRPr="004D679F">
        <w:rPr>
          <w:rFonts w:ascii="Times New Roman" w:hAnsi="Times New Roman" w:cs="Times New Roman"/>
          <w:sz w:val="24"/>
          <w:szCs w:val="24"/>
          <w:shd w:val="clear" w:color="auto" w:fill="FEFEFE"/>
        </w:rPr>
        <w:t>в съответните приложения</w:t>
      </w:r>
      <w:r w:rsidR="00D4713D" w:rsidRPr="004D679F">
        <w:rPr>
          <w:rFonts w:ascii="Times New Roman" w:hAnsi="Times New Roman" w:cs="Times New Roman"/>
          <w:sz w:val="24"/>
          <w:szCs w:val="24"/>
          <w:shd w:val="clear" w:color="auto" w:fill="FEFEFE"/>
        </w:rPr>
        <w:t xml:space="preserve"> /№7 и №5/</w:t>
      </w:r>
      <w:r w:rsidR="008D24EC" w:rsidRPr="004D679F">
        <w:rPr>
          <w:rFonts w:ascii="Times New Roman" w:hAnsi="Times New Roman" w:cs="Times New Roman"/>
          <w:sz w:val="24"/>
          <w:szCs w:val="24"/>
          <w:shd w:val="clear" w:color="auto" w:fill="FEFEFE"/>
        </w:rPr>
        <w:t xml:space="preserve"> към административния договор,</w:t>
      </w:r>
      <w:r w:rsidRPr="004D679F">
        <w:rPr>
          <w:rFonts w:ascii="Times New Roman" w:hAnsi="Times New Roman" w:cs="Times New Roman"/>
          <w:sz w:val="24"/>
          <w:szCs w:val="24"/>
          <w:shd w:val="clear" w:color="auto" w:fill="FEFEFE"/>
        </w:rPr>
        <w:t xml:space="preserve"> за кандидати възложители по реда на </w:t>
      </w:r>
      <w:r w:rsidRPr="004D679F">
        <w:rPr>
          <w:rFonts w:ascii="Times New Roman" w:hAnsi="Times New Roman" w:cs="Times New Roman"/>
          <w:sz w:val="24"/>
          <w:szCs w:val="24"/>
        </w:rPr>
        <w:t>ПМС 160 от 1 юли 2016 г. и ЗОП</w:t>
      </w:r>
      <w:r w:rsidR="008D43F5" w:rsidRPr="004D679F">
        <w:rPr>
          <w:rFonts w:ascii="Times New Roman" w:hAnsi="Times New Roman" w:cs="Times New Roman"/>
          <w:sz w:val="24"/>
          <w:szCs w:val="24"/>
        </w:rPr>
        <w:t>,</w:t>
      </w:r>
      <w:r w:rsidR="008D24EC" w:rsidRPr="004D679F">
        <w:rPr>
          <w:rFonts w:ascii="Times New Roman" w:hAnsi="Times New Roman" w:cs="Times New Roman"/>
          <w:sz w:val="24"/>
          <w:szCs w:val="24"/>
        </w:rPr>
        <w:t xml:space="preserve"> </w:t>
      </w:r>
      <w:r w:rsidR="00703941" w:rsidRPr="004D679F">
        <w:rPr>
          <w:rFonts w:ascii="Times New Roman" w:hAnsi="Times New Roman" w:cs="Times New Roman"/>
          <w:sz w:val="24"/>
          <w:szCs w:val="24"/>
        </w:rPr>
        <w:t>то следва</w:t>
      </w:r>
      <w:r w:rsidR="008D24EC" w:rsidRPr="004D679F">
        <w:rPr>
          <w:rFonts w:ascii="Times New Roman" w:hAnsi="Times New Roman" w:cs="Times New Roman"/>
          <w:sz w:val="24"/>
          <w:szCs w:val="24"/>
        </w:rPr>
        <w:t xml:space="preserve"> да бъде съгласувано </w:t>
      </w:r>
      <w:r w:rsidRPr="004D679F">
        <w:rPr>
          <w:rFonts w:ascii="Times New Roman" w:hAnsi="Times New Roman" w:cs="Times New Roman"/>
          <w:sz w:val="24"/>
          <w:szCs w:val="24"/>
        </w:rPr>
        <w:t>с ДФ</w:t>
      </w:r>
      <w:r w:rsidR="00703941" w:rsidRPr="004D679F">
        <w:rPr>
          <w:rFonts w:ascii="Times New Roman" w:hAnsi="Times New Roman" w:cs="Times New Roman"/>
          <w:sz w:val="24"/>
          <w:szCs w:val="24"/>
        </w:rPr>
        <w:t xml:space="preserve"> „</w:t>
      </w:r>
      <w:r w:rsidRPr="004D679F">
        <w:rPr>
          <w:rFonts w:ascii="Times New Roman" w:hAnsi="Times New Roman" w:cs="Times New Roman"/>
          <w:sz w:val="24"/>
          <w:szCs w:val="24"/>
        </w:rPr>
        <w:t>З</w:t>
      </w:r>
      <w:r w:rsidR="00703941" w:rsidRPr="004D679F">
        <w:rPr>
          <w:rFonts w:ascii="Times New Roman" w:hAnsi="Times New Roman" w:cs="Times New Roman"/>
          <w:sz w:val="24"/>
          <w:szCs w:val="24"/>
        </w:rPr>
        <w:t>емеделие“</w:t>
      </w:r>
      <w:r w:rsidRPr="004D679F">
        <w:rPr>
          <w:rFonts w:ascii="Times New Roman" w:hAnsi="Times New Roman" w:cs="Times New Roman"/>
          <w:sz w:val="24"/>
          <w:szCs w:val="24"/>
        </w:rPr>
        <w:t xml:space="preserve"> преди обявяване на </w:t>
      </w:r>
      <w:r w:rsidR="004D679F">
        <w:rPr>
          <w:rFonts w:ascii="Times New Roman" w:hAnsi="Times New Roman" w:cs="Times New Roman"/>
          <w:sz w:val="24"/>
          <w:szCs w:val="24"/>
        </w:rPr>
        <w:t>процедурата</w:t>
      </w:r>
      <w:r w:rsidR="008D24EC" w:rsidRPr="004D679F">
        <w:rPr>
          <w:rFonts w:ascii="Times New Roman" w:hAnsi="Times New Roman" w:cs="Times New Roman"/>
          <w:sz w:val="24"/>
          <w:szCs w:val="24"/>
        </w:rPr>
        <w:t>.</w:t>
      </w:r>
    </w:p>
    <w:p w:rsidR="005C34A6" w:rsidRPr="004D679F" w:rsidRDefault="00703941" w:rsidP="00BD21AD">
      <w:pPr>
        <w:tabs>
          <w:tab w:val="left" w:pos="851"/>
        </w:tabs>
        <w:spacing w:line="276" w:lineRule="auto"/>
        <w:ind w:firstLine="360"/>
        <w:jc w:val="both"/>
        <w:rPr>
          <w:rFonts w:ascii="Times New Roman" w:hAnsi="Times New Roman" w:cs="Times New Roman"/>
          <w:sz w:val="24"/>
          <w:szCs w:val="24"/>
          <w:shd w:val="clear" w:color="auto" w:fill="FEFEFE"/>
        </w:rPr>
      </w:pPr>
      <w:r w:rsidRPr="004D679F">
        <w:rPr>
          <w:rFonts w:ascii="Times New Roman" w:hAnsi="Times New Roman" w:cs="Times New Roman"/>
          <w:sz w:val="24"/>
          <w:szCs w:val="24"/>
        </w:rPr>
        <w:t>Обръщаме внимание,</w:t>
      </w:r>
      <w:r w:rsidR="00D4713D" w:rsidRPr="004D679F">
        <w:rPr>
          <w:rFonts w:ascii="Times New Roman" w:hAnsi="Times New Roman" w:cs="Times New Roman"/>
          <w:sz w:val="24"/>
          <w:szCs w:val="24"/>
        </w:rPr>
        <w:t xml:space="preserve"> че</w:t>
      </w:r>
      <w:r w:rsidR="008D24EC" w:rsidRPr="004D679F">
        <w:rPr>
          <w:rFonts w:ascii="Times New Roman" w:hAnsi="Times New Roman" w:cs="Times New Roman"/>
          <w:sz w:val="24"/>
          <w:szCs w:val="24"/>
        </w:rPr>
        <w:t xml:space="preserve"> съгласно чл. 9, ал. 1, т. 3 от административния договор, “ФОНДЪТ има право да откаже пълно или частично изплащане на финансовата помощ по подаденото от БЕНЕФИЦИЕНТА искане за плащане, както и да изиска възстановяване на част или цялата помощ, ведно със законна лихва върху сумите от административни договор, когато инвестицията/дейността съгласно Приложение № 1 от договора е изпълнена неточно, включително когато БЕНЕФИЦИЕНТЪТ е придобил активи и/или изпълнил дейности - предмет на подпомагането, с технически параметри или в отклонение от количествено-стойностна сметка, различни от одобрените от ФОНДА, и не е уведомил ФОНДА по реда на Раздел VII за извършените промени - когато констатираните отклонения: водят до недопустимост или необоснованост на заявените за подпомагане де</w:t>
      </w:r>
      <w:r w:rsidRPr="004D679F">
        <w:rPr>
          <w:rFonts w:ascii="Times New Roman" w:hAnsi="Times New Roman" w:cs="Times New Roman"/>
          <w:sz w:val="24"/>
          <w:szCs w:val="24"/>
        </w:rPr>
        <w:t xml:space="preserve">йности или разходи, или засягат </w:t>
      </w:r>
      <w:r w:rsidR="008D24EC" w:rsidRPr="004D679F">
        <w:rPr>
          <w:rFonts w:ascii="Times New Roman" w:hAnsi="Times New Roman" w:cs="Times New Roman"/>
          <w:sz w:val="24"/>
          <w:szCs w:val="24"/>
        </w:rPr>
        <w:t>основната цел на проекта, или променят предназначението на инвестицията/дейността, съгласно одобрения проект, или водят до несъответствие с целите, дейностите, изискванията и критериите за оценка, определени в стратегията за ВОМР и този договор, включително приложенията към него.</w:t>
      </w:r>
    </w:p>
    <w:p w:rsidR="005C34A6" w:rsidRPr="00BD21AD" w:rsidRDefault="005C34A6" w:rsidP="00BD21AD">
      <w:pPr>
        <w:tabs>
          <w:tab w:val="left" w:pos="851"/>
        </w:tabs>
        <w:spacing w:line="276" w:lineRule="auto"/>
        <w:ind w:hanging="142"/>
        <w:jc w:val="both"/>
        <w:rPr>
          <w:rFonts w:ascii="Times New Roman" w:hAnsi="Times New Roman" w:cs="Times New Roman"/>
          <w:color w:val="00B050"/>
          <w:sz w:val="24"/>
          <w:szCs w:val="24"/>
          <w:shd w:val="clear" w:color="auto" w:fill="FEFEFE"/>
        </w:rPr>
      </w:pPr>
    </w:p>
    <w:p w:rsidR="00612759" w:rsidRPr="00BD21AD" w:rsidRDefault="005C723D" w:rsidP="00BD21AD">
      <w:pPr>
        <w:tabs>
          <w:tab w:val="left" w:pos="851"/>
        </w:tabs>
        <w:spacing w:line="276" w:lineRule="auto"/>
        <w:ind w:hanging="142"/>
        <w:jc w:val="both"/>
        <w:rPr>
          <w:rFonts w:ascii="Times New Roman" w:hAnsi="Times New Roman" w:cs="Times New Roman"/>
          <w:b/>
          <w:sz w:val="24"/>
          <w:szCs w:val="24"/>
          <w:u w:val="single"/>
          <w:shd w:val="clear" w:color="auto" w:fill="FEFEFE"/>
        </w:rPr>
      </w:pPr>
      <w:r w:rsidRPr="00BD21AD">
        <w:rPr>
          <w:rFonts w:ascii="Times New Roman" w:hAnsi="Times New Roman" w:cs="Times New Roman"/>
          <w:b/>
          <w:sz w:val="24"/>
          <w:szCs w:val="24"/>
          <w:shd w:val="clear" w:color="auto" w:fill="FEFEFE"/>
        </w:rPr>
        <w:tab/>
      </w:r>
      <w:r w:rsidR="004E6578" w:rsidRPr="00BD21AD">
        <w:rPr>
          <w:rFonts w:ascii="Times New Roman" w:hAnsi="Times New Roman" w:cs="Times New Roman"/>
          <w:b/>
          <w:sz w:val="24"/>
          <w:szCs w:val="24"/>
          <w:u w:val="single"/>
          <w:shd w:val="clear" w:color="auto" w:fill="FEFEFE"/>
        </w:rPr>
        <w:t xml:space="preserve">4. </w:t>
      </w:r>
      <w:r w:rsidR="008E7E86" w:rsidRPr="00BD21AD">
        <w:rPr>
          <w:rFonts w:ascii="Times New Roman" w:hAnsi="Times New Roman" w:cs="Times New Roman"/>
          <w:b/>
          <w:sz w:val="24"/>
          <w:szCs w:val="24"/>
          <w:u w:val="single"/>
          <w:shd w:val="clear" w:color="auto" w:fill="FEFEFE"/>
        </w:rPr>
        <w:t>Може ли да бъде удължен срокът за реално изпълнение на инвестицият</w:t>
      </w:r>
      <w:r w:rsidR="00612759" w:rsidRPr="00BD21AD">
        <w:rPr>
          <w:rFonts w:ascii="Times New Roman" w:hAnsi="Times New Roman" w:cs="Times New Roman"/>
          <w:b/>
          <w:sz w:val="24"/>
          <w:szCs w:val="24"/>
          <w:u w:val="single"/>
          <w:shd w:val="clear" w:color="auto" w:fill="FEFEFE"/>
        </w:rPr>
        <w:t>а, заложен в чл. 6, ал. 3, т. 1</w:t>
      </w:r>
      <w:r w:rsidR="008E7E86" w:rsidRPr="00BD21AD">
        <w:rPr>
          <w:rFonts w:ascii="Times New Roman" w:hAnsi="Times New Roman" w:cs="Times New Roman"/>
          <w:b/>
          <w:sz w:val="24"/>
          <w:szCs w:val="24"/>
          <w:u w:val="single"/>
          <w:shd w:val="clear" w:color="auto" w:fill="FEFEFE"/>
        </w:rPr>
        <w:t xml:space="preserve">, за кандидати, които не са възложители по реда на </w:t>
      </w:r>
      <w:r w:rsidR="008E7E86" w:rsidRPr="00BD21AD">
        <w:rPr>
          <w:rFonts w:ascii="Times New Roman" w:hAnsi="Times New Roman" w:cs="Times New Roman"/>
          <w:b/>
          <w:sz w:val="24"/>
          <w:szCs w:val="24"/>
          <w:u w:val="single"/>
        </w:rPr>
        <w:t>ПМС 160 от 1 юли 2016 г.?</w:t>
      </w:r>
    </w:p>
    <w:p w:rsidR="008E7E86" w:rsidRPr="00BD21AD" w:rsidRDefault="008E7E86" w:rsidP="00BD21AD">
      <w:pPr>
        <w:spacing w:line="276" w:lineRule="auto"/>
        <w:jc w:val="both"/>
        <w:rPr>
          <w:rFonts w:ascii="Times New Roman" w:hAnsi="Times New Roman" w:cs="Times New Roman"/>
          <w:b/>
          <w:sz w:val="24"/>
          <w:szCs w:val="24"/>
        </w:rPr>
      </w:pPr>
      <w:r w:rsidRPr="00BD21AD">
        <w:rPr>
          <w:rFonts w:ascii="Times New Roman" w:hAnsi="Times New Roman" w:cs="Times New Roman"/>
          <w:b/>
          <w:sz w:val="24"/>
          <w:szCs w:val="24"/>
        </w:rPr>
        <w:t>Чл. 6.</w:t>
      </w:r>
      <w:r w:rsidRPr="00BD21AD">
        <w:rPr>
          <w:rFonts w:ascii="Times New Roman" w:hAnsi="Times New Roman" w:cs="Times New Roman"/>
          <w:b/>
          <w:sz w:val="24"/>
          <w:szCs w:val="24"/>
          <w:shd w:val="clear" w:color="auto" w:fill="FEFEFE"/>
        </w:rPr>
        <w:t xml:space="preserve"> (1)</w:t>
      </w:r>
      <w:r w:rsidRPr="00BD21AD">
        <w:rPr>
          <w:rFonts w:ascii="Times New Roman" w:hAnsi="Times New Roman" w:cs="Times New Roman"/>
          <w:sz w:val="24"/>
          <w:szCs w:val="24"/>
        </w:rPr>
        <w:t xml:space="preserve"> </w:t>
      </w:r>
      <w:r w:rsidRPr="00BD21AD">
        <w:rPr>
          <w:rFonts w:ascii="Times New Roman" w:hAnsi="Times New Roman" w:cs="Times New Roman"/>
          <w:b/>
          <w:sz w:val="24"/>
          <w:szCs w:val="24"/>
        </w:rPr>
        <w:t>БЕНЕФИЦИЕНТЪТ</w:t>
      </w:r>
      <w:r w:rsidRPr="00BD21AD">
        <w:rPr>
          <w:rFonts w:ascii="Times New Roman" w:hAnsi="Times New Roman" w:cs="Times New Roman"/>
          <w:sz w:val="24"/>
          <w:szCs w:val="24"/>
        </w:rPr>
        <w:t xml:space="preserve"> се задължава да извърши инвестицията  – предмет на този договор в </w:t>
      </w:r>
      <w:r w:rsidRPr="00BD21AD">
        <w:rPr>
          <w:rFonts w:ascii="Times New Roman" w:hAnsi="Times New Roman" w:cs="Times New Roman"/>
          <w:color w:val="000000"/>
          <w:sz w:val="24"/>
          <w:szCs w:val="24"/>
          <w:lang w:val="ru-RU"/>
        </w:rPr>
        <w:t>изпълнение на дейностите по проект</w:t>
      </w:r>
      <w:r w:rsidRPr="00BD21AD">
        <w:rPr>
          <w:rFonts w:ascii="Times New Roman" w:hAnsi="Times New Roman" w:cs="Times New Roman"/>
          <w:color w:val="000000"/>
          <w:sz w:val="24"/>
          <w:szCs w:val="24"/>
        </w:rPr>
        <w:t>а</w:t>
      </w:r>
      <w:r w:rsidRPr="00BD21AD">
        <w:rPr>
          <w:rFonts w:ascii="Times New Roman" w:hAnsi="Times New Roman" w:cs="Times New Roman"/>
          <w:color w:val="000000"/>
          <w:sz w:val="24"/>
          <w:szCs w:val="24"/>
          <w:lang w:val="ru-RU"/>
        </w:rPr>
        <w:t xml:space="preserve"> към стратегия</w:t>
      </w:r>
      <w:r w:rsidRPr="00BD21AD">
        <w:rPr>
          <w:rFonts w:ascii="Times New Roman" w:hAnsi="Times New Roman" w:cs="Times New Roman"/>
          <w:color w:val="000000"/>
          <w:sz w:val="24"/>
          <w:szCs w:val="24"/>
        </w:rPr>
        <w:t>та</w:t>
      </w:r>
      <w:r w:rsidRPr="00BD21AD">
        <w:rPr>
          <w:rFonts w:ascii="Times New Roman" w:hAnsi="Times New Roman" w:cs="Times New Roman"/>
          <w:color w:val="000000"/>
          <w:sz w:val="24"/>
          <w:szCs w:val="24"/>
          <w:lang w:val="ru-RU"/>
        </w:rPr>
        <w:t xml:space="preserve"> за ВОМР, финансиран от ЕЗФРСР</w:t>
      </w:r>
      <w:r w:rsidRPr="00BD21AD">
        <w:rPr>
          <w:rFonts w:ascii="Times New Roman" w:hAnsi="Times New Roman" w:cs="Times New Roman"/>
          <w:sz w:val="24"/>
          <w:szCs w:val="24"/>
        </w:rPr>
        <w:t xml:space="preserve"> </w:t>
      </w:r>
      <w:r w:rsidRPr="00BD21AD">
        <w:rPr>
          <w:rFonts w:ascii="Times New Roman" w:hAnsi="Times New Roman" w:cs="Times New Roman"/>
          <w:b/>
          <w:sz w:val="24"/>
          <w:szCs w:val="24"/>
        </w:rPr>
        <w:t>в срок до ….. (</w:t>
      </w:r>
      <w:r w:rsidRPr="00BD21AD">
        <w:rPr>
          <w:rFonts w:ascii="Times New Roman" w:hAnsi="Times New Roman" w:cs="Times New Roman"/>
          <w:i/>
          <w:sz w:val="24"/>
          <w:szCs w:val="24"/>
        </w:rPr>
        <w:t>попълва се съгласно условията на МИГ за изпълнение на проектите</w:t>
      </w:r>
      <w:r w:rsidRPr="00BD21AD">
        <w:rPr>
          <w:rFonts w:ascii="Times New Roman" w:hAnsi="Times New Roman" w:cs="Times New Roman"/>
          <w:b/>
          <w:sz w:val="24"/>
          <w:szCs w:val="24"/>
        </w:rPr>
        <w:t>), но не повече от 36 месеца, а за договори сключени след 30 юни 2020 г.  - не по-късно от 30 юни 2023 г.</w:t>
      </w:r>
    </w:p>
    <w:p w:rsidR="008E7E86" w:rsidRPr="00BD21AD" w:rsidRDefault="008E7E86" w:rsidP="00BD21AD">
      <w:pPr>
        <w:spacing w:line="276" w:lineRule="auto"/>
        <w:ind w:left="720"/>
        <w:jc w:val="both"/>
        <w:rPr>
          <w:rFonts w:ascii="Times New Roman" w:hAnsi="Times New Roman" w:cs="Times New Roman"/>
          <w:sz w:val="24"/>
          <w:szCs w:val="24"/>
          <w:shd w:val="clear" w:color="auto" w:fill="FEFEFE"/>
        </w:rPr>
      </w:pPr>
      <w:r w:rsidRPr="00BD21AD">
        <w:rPr>
          <w:rFonts w:ascii="Times New Roman" w:hAnsi="Times New Roman" w:cs="Times New Roman"/>
          <w:b/>
          <w:sz w:val="24"/>
          <w:szCs w:val="24"/>
          <w:shd w:val="clear" w:color="auto" w:fill="FEFEFE"/>
        </w:rPr>
        <w:t>(2)</w:t>
      </w:r>
      <w:r w:rsidRPr="00BD21AD">
        <w:rPr>
          <w:rFonts w:ascii="Times New Roman" w:hAnsi="Times New Roman" w:cs="Times New Roman"/>
          <w:sz w:val="24"/>
          <w:szCs w:val="24"/>
          <w:shd w:val="clear" w:color="auto" w:fill="FEFEFE"/>
        </w:rPr>
        <w:t xml:space="preserve"> Срокът по ал. 1 започва да тече от датата на подписването на този договор.</w:t>
      </w:r>
    </w:p>
    <w:p w:rsidR="008E7E86" w:rsidRPr="00BD21AD" w:rsidRDefault="008E7E86" w:rsidP="00BD21AD">
      <w:pPr>
        <w:pStyle w:val="BodyText"/>
        <w:spacing w:line="276" w:lineRule="auto"/>
        <w:ind w:firstLine="720"/>
        <w:rPr>
          <w:rFonts w:cs="Times New Roman"/>
          <w:szCs w:val="24"/>
          <w:lang w:val="bg-BG"/>
        </w:rPr>
      </w:pPr>
      <w:r w:rsidRPr="00BD21AD">
        <w:rPr>
          <w:rFonts w:cs="Times New Roman"/>
          <w:b/>
          <w:szCs w:val="24"/>
          <w:shd w:val="clear" w:color="auto" w:fill="FEFEFE"/>
          <w:lang w:val="bg-BG"/>
        </w:rPr>
        <w:lastRenderedPageBreak/>
        <w:t>(3)</w:t>
      </w:r>
      <w:r w:rsidRPr="00BD21AD">
        <w:rPr>
          <w:rFonts w:cs="Times New Roman"/>
          <w:szCs w:val="24"/>
          <w:shd w:val="clear" w:color="auto" w:fill="FEFEFE"/>
          <w:lang w:val="bg-BG"/>
        </w:rPr>
        <w:t xml:space="preserve"> В срока по ал. 1 </w:t>
      </w:r>
      <w:r w:rsidRPr="00BD21AD">
        <w:rPr>
          <w:rFonts w:cs="Times New Roman"/>
          <w:b/>
          <w:szCs w:val="24"/>
          <w:lang w:val="bg-BG"/>
        </w:rPr>
        <w:t>БЕНЕФИЦИЕНТЪТ</w:t>
      </w:r>
      <w:r w:rsidRPr="00BD21AD">
        <w:rPr>
          <w:rFonts w:cs="Times New Roman"/>
          <w:szCs w:val="24"/>
          <w:lang w:val="bg-BG"/>
        </w:rPr>
        <w:t xml:space="preserve"> се задължава:</w:t>
      </w:r>
    </w:p>
    <w:p w:rsidR="008E7E86" w:rsidRPr="00BD21AD" w:rsidRDefault="008E7E86" w:rsidP="00BD21AD">
      <w:pPr>
        <w:spacing w:line="276" w:lineRule="auto"/>
        <w:ind w:firstLine="708"/>
        <w:jc w:val="both"/>
        <w:rPr>
          <w:rFonts w:ascii="Times New Roman" w:hAnsi="Times New Roman" w:cs="Times New Roman"/>
          <w:sz w:val="24"/>
          <w:szCs w:val="24"/>
          <w:shd w:val="clear" w:color="auto" w:fill="FEFEFE"/>
        </w:rPr>
      </w:pPr>
      <w:r w:rsidRPr="00BD21AD">
        <w:rPr>
          <w:rFonts w:ascii="Times New Roman" w:hAnsi="Times New Roman" w:cs="Times New Roman"/>
          <w:sz w:val="24"/>
          <w:szCs w:val="24"/>
        </w:rPr>
        <w:t xml:space="preserve">1. </w:t>
      </w:r>
      <w:r w:rsidRPr="00BD21AD">
        <w:rPr>
          <w:rFonts w:ascii="Times New Roman" w:hAnsi="Times New Roman" w:cs="Times New Roman"/>
          <w:sz w:val="24"/>
          <w:szCs w:val="24"/>
          <w:shd w:val="clear" w:color="auto" w:fill="FEFEFE"/>
        </w:rPr>
        <w:t>да започне реалното изпълнение на инвестицията и/или дейностите по този договор в срок не по-дълъг от шест месеца от датата на подписването му,  с изключение на случаите по т. 2</w:t>
      </w:r>
    </w:p>
    <w:p w:rsidR="00410AB4" w:rsidRPr="00BD21AD" w:rsidRDefault="004B4CEA" w:rsidP="00BD21AD">
      <w:pPr>
        <w:spacing w:line="276" w:lineRule="auto"/>
        <w:ind w:firstLine="708"/>
        <w:jc w:val="both"/>
        <w:rPr>
          <w:rFonts w:ascii="Times New Roman" w:hAnsi="Times New Roman" w:cs="Times New Roman"/>
          <w:sz w:val="24"/>
          <w:szCs w:val="24"/>
          <w:shd w:val="clear" w:color="auto" w:fill="FEFEFE"/>
        </w:rPr>
      </w:pPr>
      <w:r w:rsidRPr="00BD21AD">
        <w:rPr>
          <w:rFonts w:ascii="Times New Roman" w:hAnsi="Times New Roman" w:cs="Times New Roman"/>
          <w:sz w:val="24"/>
          <w:szCs w:val="24"/>
          <w:shd w:val="clear" w:color="auto" w:fill="FEFEFE"/>
        </w:rPr>
        <w:t>2. да започне реалното изпълнение на инвестицията и/или дейностите по този договор в срок не по-дълъг от шест месеца от получаване от страна на БЕНЕФИЦИЕНТА на последното по време решение на ФОНДА за съгласуване на определянето на изпълнител за дейностите по строителство, услуги и/или доставки на стоки по одобрения проект, когато в него са предвидени разходи, които изпълняват условията на чл. 50, ал. 2 от ЗУСЕСИФ.</w:t>
      </w:r>
    </w:p>
    <w:p w:rsidR="006F4C98" w:rsidRPr="00953446" w:rsidRDefault="00532478" w:rsidP="006F4C98">
      <w:pPr>
        <w:tabs>
          <w:tab w:val="left" w:pos="851"/>
        </w:tabs>
        <w:spacing w:line="276" w:lineRule="auto"/>
        <w:jc w:val="both"/>
        <w:rPr>
          <w:rFonts w:ascii="Times New Roman" w:hAnsi="Times New Roman" w:cs="Times New Roman"/>
          <w:sz w:val="24"/>
          <w:szCs w:val="24"/>
        </w:rPr>
      </w:pPr>
      <w:r w:rsidRPr="00953446">
        <w:rPr>
          <w:rFonts w:ascii="Times New Roman" w:hAnsi="Times New Roman" w:cs="Times New Roman"/>
          <w:sz w:val="24"/>
          <w:szCs w:val="24"/>
        </w:rPr>
        <w:t xml:space="preserve">От страна на ДФ „Земеделие“ </w:t>
      </w:r>
      <w:r w:rsidR="009444C9" w:rsidRPr="00953446">
        <w:rPr>
          <w:rFonts w:ascii="Times New Roman" w:hAnsi="Times New Roman" w:cs="Times New Roman"/>
          <w:sz w:val="24"/>
          <w:szCs w:val="24"/>
        </w:rPr>
        <w:t xml:space="preserve">са </w:t>
      </w:r>
      <w:r w:rsidRPr="00953446">
        <w:rPr>
          <w:rFonts w:ascii="Times New Roman" w:hAnsi="Times New Roman" w:cs="Times New Roman"/>
          <w:sz w:val="24"/>
          <w:szCs w:val="24"/>
        </w:rPr>
        <w:t>предприети действия по изменение на административния договор,</w:t>
      </w:r>
      <w:r w:rsidR="00FE6B65" w:rsidRPr="00953446">
        <w:rPr>
          <w:rFonts w:ascii="Times New Roman" w:hAnsi="Times New Roman" w:cs="Times New Roman"/>
          <w:sz w:val="24"/>
          <w:szCs w:val="24"/>
        </w:rPr>
        <w:t xml:space="preserve"> които</w:t>
      </w:r>
      <w:r w:rsidR="009444C9" w:rsidRPr="00953446">
        <w:rPr>
          <w:rFonts w:ascii="Times New Roman" w:hAnsi="Times New Roman" w:cs="Times New Roman"/>
          <w:sz w:val="24"/>
          <w:szCs w:val="24"/>
        </w:rPr>
        <w:t xml:space="preserve"> ще</w:t>
      </w:r>
      <w:r w:rsidR="00FE6B65" w:rsidRPr="00953446">
        <w:rPr>
          <w:rFonts w:ascii="Times New Roman" w:hAnsi="Times New Roman" w:cs="Times New Roman"/>
          <w:sz w:val="24"/>
          <w:szCs w:val="24"/>
        </w:rPr>
        <w:t xml:space="preserve"> конкретизират сроковете</w:t>
      </w:r>
      <w:r w:rsidRPr="00953446">
        <w:rPr>
          <w:rFonts w:ascii="Times New Roman" w:hAnsi="Times New Roman" w:cs="Times New Roman"/>
          <w:sz w:val="24"/>
          <w:szCs w:val="24"/>
        </w:rPr>
        <w:t xml:space="preserve"> за</w:t>
      </w:r>
      <w:r w:rsidR="00974D9E" w:rsidRPr="00953446">
        <w:rPr>
          <w:rFonts w:ascii="Times New Roman" w:hAnsi="Times New Roman" w:cs="Times New Roman"/>
          <w:sz w:val="24"/>
          <w:szCs w:val="24"/>
        </w:rPr>
        <w:t xml:space="preserve"> стартиране</w:t>
      </w:r>
      <w:r w:rsidR="006673AC" w:rsidRPr="00953446">
        <w:rPr>
          <w:rFonts w:ascii="Times New Roman" w:hAnsi="Times New Roman" w:cs="Times New Roman"/>
          <w:sz w:val="24"/>
          <w:szCs w:val="24"/>
        </w:rPr>
        <w:t xml:space="preserve"> </w:t>
      </w:r>
      <w:r w:rsidR="002E0951" w:rsidRPr="00953446">
        <w:rPr>
          <w:rFonts w:ascii="Times New Roman" w:hAnsi="Times New Roman" w:cs="Times New Roman"/>
          <w:sz w:val="24"/>
          <w:szCs w:val="24"/>
        </w:rPr>
        <w:t xml:space="preserve">на </w:t>
      </w:r>
      <w:r w:rsidR="00846134" w:rsidRPr="00953446">
        <w:rPr>
          <w:rFonts w:ascii="Times New Roman" w:hAnsi="Times New Roman" w:cs="Times New Roman"/>
          <w:sz w:val="24"/>
          <w:szCs w:val="24"/>
        </w:rPr>
        <w:t xml:space="preserve">инвестицията за </w:t>
      </w:r>
      <w:r w:rsidR="00A311BD" w:rsidRPr="00953446">
        <w:rPr>
          <w:rFonts w:ascii="Times New Roman" w:hAnsi="Times New Roman" w:cs="Times New Roman"/>
          <w:sz w:val="24"/>
          <w:szCs w:val="24"/>
        </w:rPr>
        <w:t>бенефициенти, които не провеждат процедура за избор на изпълнител с публична покана по реда на ПМС 160.</w:t>
      </w:r>
      <w:r w:rsidR="00022FE5" w:rsidRPr="00953446">
        <w:rPr>
          <w:rFonts w:ascii="Times New Roman" w:hAnsi="Times New Roman" w:cs="Times New Roman"/>
          <w:sz w:val="24"/>
          <w:szCs w:val="24"/>
        </w:rPr>
        <w:t xml:space="preserve"> </w:t>
      </w:r>
      <w:r w:rsidR="002E0951" w:rsidRPr="00953446">
        <w:rPr>
          <w:rFonts w:ascii="Times New Roman" w:hAnsi="Times New Roman" w:cs="Times New Roman"/>
          <w:sz w:val="24"/>
          <w:szCs w:val="24"/>
        </w:rPr>
        <w:t xml:space="preserve">Бенефициентът </w:t>
      </w:r>
      <w:r w:rsidR="006673AC" w:rsidRPr="00953446">
        <w:rPr>
          <w:rFonts w:ascii="Times New Roman" w:hAnsi="Times New Roman" w:cs="Times New Roman"/>
          <w:sz w:val="24"/>
          <w:szCs w:val="24"/>
        </w:rPr>
        <w:t xml:space="preserve">ще </w:t>
      </w:r>
      <w:r w:rsidR="002E0951" w:rsidRPr="00953446">
        <w:rPr>
          <w:rFonts w:ascii="Times New Roman" w:hAnsi="Times New Roman" w:cs="Times New Roman"/>
          <w:sz w:val="24"/>
          <w:szCs w:val="24"/>
        </w:rPr>
        <w:t xml:space="preserve">се задължава да започне реалното изпълнение на одобрения проект в срок не по-дълъг от </w:t>
      </w:r>
      <w:r w:rsidR="006F4C98" w:rsidRPr="00953446">
        <w:rPr>
          <w:rFonts w:ascii="Times New Roman" w:hAnsi="Times New Roman" w:cs="Times New Roman"/>
          <w:sz w:val="24"/>
          <w:szCs w:val="24"/>
        </w:rPr>
        <w:t>дванадесет месеца от сключването на</w:t>
      </w:r>
      <w:r w:rsidR="002E0951" w:rsidRPr="00953446">
        <w:rPr>
          <w:rFonts w:ascii="Times New Roman" w:hAnsi="Times New Roman" w:cs="Times New Roman"/>
          <w:sz w:val="24"/>
          <w:szCs w:val="24"/>
        </w:rPr>
        <w:t xml:space="preserve"> договор</w:t>
      </w:r>
      <w:r w:rsidR="006F4C98" w:rsidRPr="00953446">
        <w:rPr>
          <w:rFonts w:ascii="Times New Roman" w:hAnsi="Times New Roman" w:cs="Times New Roman"/>
          <w:sz w:val="24"/>
          <w:szCs w:val="24"/>
        </w:rPr>
        <w:t>а</w:t>
      </w:r>
      <w:r w:rsidR="002E0951" w:rsidRPr="00953446">
        <w:rPr>
          <w:rFonts w:ascii="Times New Roman" w:hAnsi="Times New Roman" w:cs="Times New Roman"/>
          <w:sz w:val="24"/>
          <w:szCs w:val="24"/>
        </w:rPr>
        <w:t>, за което</w:t>
      </w:r>
      <w:r w:rsidR="006F4C98" w:rsidRPr="00953446">
        <w:rPr>
          <w:rFonts w:ascii="Times New Roman" w:hAnsi="Times New Roman" w:cs="Times New Roman"/>
          <w:sz w:val="24"/>
          <w:szCs w:val="24"/>
        </w:rPr>
        <w:t xml:space="preserve"> следва</w:t>
      </w:r>
      <w:r w:rsidR="002E0951" w:rsidRPr="00953446">
        <w:rPr>
          <w:rFonts w:ascii="Times New Roman" w:hAnsi="Times New Roman" w:cs="Times New Roman"/>
          <w:sz w:val="24"/>
          <w:szCs w:val="24"/>
        </w:rPr>
        <w:t xml:space="preserve"> да уведоми Фонда, като представи надлежни доказателства за това в същия срок. Когато до изтичането на срока по изр. първо Бенефициентът представи на Фонда надлежни документи, пряко свързани с изпълнението, от които е видно, че е извършил или извършва реални действия и започването на изпълнението е предстоящо, този срок може да бъде удължен по преценка на Фонд</w:t>
      </w:r>
      <w:r w:rsidR="006673AC" w:rsidRPr="00953446">
        <w:rPr>
          <w:rFonts w:ascii="Times New Roman" w:hAnsi="Times New Roman" w:cs="Times New Roman"/>
          <w:sz w:val="24"/>
          <w:szCs w:val="24"/>
        </w:rPr>
        <w:t>а, но с не повече от три месеца.</w:t>
      </w:r>
    </w:p>
    <w:p w:rsidR="000A69AB" w:rsidRPr="00BD21AD" w:rsidRDefault="000A69AB" w:rsidP="00BD21AD">
      <w:pPr>
        <w:tabs>
          <w:tab w:val="left" w:pos="851"/>
        </w:tabs>
        <w:spacing w:line="276" w:lineRule="auto"/>
        <w:jc w:val="both"/>
        <w:rPr>
          <w:rFonts w:ascii="Times New Roman" w:hAnsi="Times New Roman" w:cs="Times New Roman"/>
          <w:b/>
          <w:sz w:val="24"/>
          <w:szCs w:val="24"/>
          <w:u w:val="single"/>
        </w:rPr>
      </w:pPr>
      <w:r w:rsidRPr="00BD21AD">
        <w:rPr>
          <w:rFonts w:ascii="Times New Roman" w:hAnsi="Times New Roman" w:cs="Times New Roman"/>
          <w:b/>
          <w:sz w:val="24"/>
          <w:szCs w:val="24"/>
          <w:u w:val="single"/>
          <w:shd w:val="clear" w:color="auto" w:fill="FEFEFE"/>
        </w:rPr>
        <w:t xml:space="preserve">5. </w:t>
      </w:r>
      <w:r w:rsidR="00D67255" w:rsidRPr="00BD21AD">
        <w:rPr>
          <w:rFonts w:ascii="Times New Roman" w:hAnsi="Times New Roman" w:cs="Times New Roman"/>
          <w:b/>
          <w:sz w:val="24"/>
          <w:szCs w:val="24"/>
          <w:u w:val="single"/>
          <w:shd w:val="clear" w:color="auto" w:fill="FEFEFE"/>
        </w:rPr>
        <w:t>Разяснения</w:t>
      </w:r>
      <w:r w:rsidR="002D14CD" w:rsidRPr="00BD21AD">
        <w:rPr>
          <w:rFonts w:ascii="Times New Roman" w:hAnsi="Times New Roman" w:cs="Times New Roman"/>
          <w:b/>
          <w:sz w:val="24"/>
          <w:szCs w:val="24"/>
          <w:u w:val="single"/>
          <w:shd w:val="clear" w:color="auto" w:fill="FEFEFE"/>
        </w:rPr>
        <w:t xml:space="preserve"> при</w:t>
      </w:r>
      <w:r w:rsidRPr="00BD21AD">
        <w:rPr>
          <w:rFonts w:ascii="Times New Roman" w:hAnsi="Times New Roman" w:cs="Times New Roman"/>
          <w:b/>
          <w:sz w:val="24"/>
          <w:szCs w:val="24"/>
          <w:u w:val="single"/>
          <w:shd w:val="clear" w:color="auto" w:fill="FEFEFE"/>
        </w:rPr>
        <w:t xml:space="preserve"> прилага</w:t>
      </w:r>
      <w:r w:rsidR="002D14CD" w:rsidRPr="00BD21AD">
        <w:rPr>
          <w:rFonts w:ascii="Times New Roman" w:hAnsi="Times New Roman" w:cs="Times New Roman"/>
          <w:b/>
          <w:sz w:val="24"/>
          <w:szCs w:val="24"/>
          <w:u w:val="single"/>
          <w:shd w:val="clear" w:color="auto" w:fill="FEFEFE"/>
        </w:rPr>
        <w:t>не</w:t>
      </w:r>
      <w:r w:rsidRPr="00BD21AD">
        <w:rPr>
          <w:rFonts w:ascii="Times New Roman" w:hAnsi="Times New Roman" w:cs="Times New Roman"/>
          <w:b/>
          <w:sz w:val="24"/>
          <w:szCs w:val="24"/>
          <w:u w:val="single"/>
          <w:shd w:val="clear" w:color="auto" w:fill="FEFEFE"/>
        </w:rPr>
        <w:t xml:space="preserve"> ПМС </w:t>
      </w:r>
      <w:r w:rsidRPr="00BD21AD">
        <w:rPr>
          <w:rFonts w:ascii="Times New Roman" w:hAnsi="Times New Roman" w:cs="Times New Roman"/>
          <w:b/>
          <w:sz w:val="24"/>
          <w:szCs w:val="24"/>
          <w:u w:val="single"/>
        </w:rPr>
        <w:t>№ 160 от 1 юли 2016 г.?</w:t>
      </w:r>
    </w:p>
    <w:p w:rsidR="00260161" w:rsidRDefault="00AB0887" w:rsidP="00BD21AD">
      <w:pPr>
        <w:tabs>
          <w:tab w:val="left" w:pos="851"/>
        </w:tabs>
        <w:spacing w:line="276" w:lineRule="auto"/>
        <w:jc w:val="both"/>
        <w:rPr>
          <w:rFonts w:ascii="Times New Roman" w:hAnsi="Times New Roman" w:cs="Times New Roman"/>
          <w:sz w:val="24"/>
          <w:szCs w:val="24"/>
        </w:rPr>
      </w:pPr>
      <w:r w:rsidRPr="00BD21AD">
        <w:rPr>
          <w:rFonts w:ascii="Times New Roman" w:hAnsi="Times New Roman" w:cs="Times New Roman"/>
          <w:sz w:val="24"/>
          <w:szCs w:val="24"/>
        </w:rPr>
        <w:t xml:space="preserve">За да бъде прилагано ПМС 160 следва да бъдат </w:t>
      </w:r>
      <w:r w:rsidR="00503184">
        <w:rPr>
          <w:rFonts w:ascii="Times New Roman" w:hAnsi="Times New Roman" w:cs="Times New Roman"/>
          <w:sz w:val="24"/>
          <w:szCs w:val="24"/>
        </w:rPr>
        <w:t xml:space="preserve">изпълнени едновременно условията </w:t>
      </w:r>
      <w:r w:rsidR="00A70C0D">
        <w:rPr>
          <w:rFonts w:ascii="Times New Roman" w:hAnsi="Times New Roman" w:cs="Times New Roman"/>
          <w:sz w:val="24"/>
          <w:szCs w:val="24"/>
        </w:rPr>
        <w:t xml:space="preserve">на </w:t>
      </w:r>
      <w:r w:rsidR="00101FBD" w:rsidRPr="00BD21AD">
        <w:rPr>
          <w:rFonts w:ascii="Times New Roman" w:hAnsi="Times New Roman" w:cs="Times New Roman"/>
          <w:sz w:val="24"/>
          <w:szCs w:val="24"/>
        </w:rPr>
        <w:t xml:space="preserve">чл. 50 </w:t>
      </w:r>
      <w:r w:rsidR="00503184">
        <w:rPr>
          <w:rFonts w:ascii="Times New Roman" w:hAnsi="Times New Roman" w:cs="Times New Roman"/>
          <w:sz w:val="24"/>
          <w:szCs w:val="24"/>
        </w:rPr>
        <w:t xml:space="preserve">от ЗУСЕСИФ, </w:t>
      </w:r>
      <w:r w:rsidR="000E58DD">
        <w:rPr>
          <w:rFonts w:ascii="Times New Roman" w:hAnsi="Times New Roman" w:cs="Times New Roman"/>
          <w:sz w:val="24"/>
          <w:szCs w:val="24"/>
        </w:rPr>
        <w:t xml:space="preserve">а </w:t>
      </w:r>
      <w:r w:rsidR="00503184">
        <w:rPr>
          <w:rFonts w:ascii="Times New Roman" w:hAnsi="Times New Roman" w:cs="Times New Roman"/>
          <w:sz w:val="24"/>
          <w:szCs w:val="24"/>
        </w:rPr>
        <w:t xml:space="preserve">именно: </w:t>
      </w:r>
      <w:r w:rsidR="00F4054E" w:rsidRPr="00BD21AD">
        <w:rPr>
          <w:rFonts w:ascii="Times New Roman" w:hAnsi="Times New Roman" w:cs="Times New Roman"/>
          <w:b/>
          <w:sz w:val="24"/>
          <w:szCs w:val="24"/>
        </w:rPr>
        <w:t>одобре</w:t>
      </w:r>
      <w:r w:rsidRPr="00BD21AD">
        <w:rPr>
          <w:rFonts w:ascii="Times New Roman" w:hAnsi="Times New Roman" w:cs="Times New Roman"/>
          <w:b/>
          <w:sz w:val="24"/>
          <w:szCs w:val="24"/>
        </w:rPr>
        <w:t>на</w:t>
      </w:r>
      <w:r w:rsidR="00F4054E" w:rsidRPr="00BD21AD">
        <w:rPr>
          <w:rFonts w:ascii="Times New Roman" w:hAnsi="Times New Roman" w:cs="Times New Roman"/>
          <w:b/>
          <w:sz w:val="24"/>
          <w:szCs w:val="24"/>
        </w:rPr>
        <w:t xml:space="preserve"> субсидия над</w:t>
      </w:r>
      <w:r w:rsidRPr="00BD21AD">
        <w:rPr>
          <w:rFonts w:ascii="Times New Roman" w:hAnsi="Times New Roman" w:cs="Times New Roman"/>
          <w:b/>
          <w:sz w:val="24"/>
          <w:szCs w:val="24"/>
        </w:rPr>
        <w:t xml:space="preserve"> 50% и </w:t>
      </w:r>
      <w:r w:rsidR="00F4054E" w:rsidRPr="00BD21AD">
        <w:rPr>
          <w:rFonts w:ascii="Times New Roman" w:hAnsi="Times New Roman" w:cs="Times New Roman"/>
          <w:b/>
          <w:sz w:val="24"/>
          <w:szCs w:val="24"/>
        </w:rPr>
        <w:t xml:space="preserve">одобрени </w:t>
      </w:r>
      <w:r w:rsidRPr="00BD21AD">
        <w:rPr>
          <w:rFonts w:ascii="Times New Roman" w:hAnsi="Times New Roman" w:cs="Times New Roman"/>
          <w:b/>
          <w:sz w:val="24"/>
          <w:szCs w:val="24"/>
        </w:rPr>
        <w:t>разходи над заложените прагове</w:t>
      </w:r>
      <w:r w:rsidR="00503184">
        <w:rPr>
          <w:rFonts w:ascii="Times New Roman" w:hAnsi="Times New Roman" w:cs="Times New Roman"/>
          <w:sz w:val="24"/>
          <w:szCs w:val="24"/>
        </w:rPr>
        <w:t xml:space="preserve">. </w:t>
      </w:r>
    </w:p>
    <w:p w:rsidR="00044C29" w:rsidRPr="000812A8" w:rsidRDefault="00044C29" w:rsidP="00044C29">
      <w:pPr>
        <w:tabs>
          <w:tab w:val="left" w:pos="851"/>
        </w:tabs>
        <w:spacing w:line="276" w:lineRule="auto"/>
        <w:jc w:val="both"/>
        <w:rPr>
          <w:rFonts w:ascii="Times New Roman" w:hAnsi="Times New Roman" w:cs="Times New Roman"/>
          <w:sz w:val="24"/>
          <w:szCs w:val="24"/>
          <w:u w:val="single"/>
          <w:lang w:val="en-US"/>
        </w:rPr>
      </w:pPr>
      <w:r w:rsidRPr="000812A8">
        <w:rPr>
          <w:rFonts w:ascii="Times New Roman" w:hAnsi="Times New Roman" w:cs="Times New Roman"/>
          <w:sz w:val="24"/>
          <w:szCs w:val="24"/>
          <w:u w:val="single"/>
        </w:rPr>
        <w:t>Праговете на одобрените разходи, за които следва да се приложи ПМС 160 са:</w:t>
      </w:r>
    </w:p>
    <w:p w:rsidR="00044C29" w:rsidRPr="00BD21AD" w:rsidRDefault="00044C29" w:rsidP="00044C29">
      <w:pPr>
        <w:pStyle w:val="ListParagraph"/>
        <w:numPr>
          <w:ilvl w:val="0"/>
          <w:numId w:val="3"/>
        </w:numPr>
        <w:autoSpaceDE w:val="0"/>
        <w:autoSpaceDN w:val="0"/>
        <w:adjustRightInd w:val="0"/>
        <w:spacing w:after="0" w:line="276" w:lineRule="auto"/>
        <w:ind w:left="0" w:firstLine="360"/>
        <w:jc w:val="both"/>
        <w:rPr>
          <w:rFonts w:ascii="Times New Roman" w:hAnsi="Times New Roman" w:cs="Times New Roman"/>
          <w:noProof w:val="0"/>
          <w:sz w:val="24"/>
          <w:szCs w:val="24"/>
        </w:rPr>
      </w:pPr>
      <w:r w:rsidRPr="00BD21AD">
        <w:rPr>
          <w:rFonts w:ascii="Times New Roman" w:hAnsi="Times New Roman" w:cs="Times New Roman"/>
          <w:sz w:val="24"/>
          <w:szCs w:val="24"/>
        </w:rPr>
        <w:t xml:space="preserve">Строителство, в това число </w:t>
      </w:r>
      <w:r w:rsidRPr="00BD21AD">
        <w:rPr>
          <w:rFonts w:ascii="Times New Roman" w:hAnsi="Times New Roman" w:cs="Times New Roman"/>
          <w:noProof w:val="0"/>
          <w:sz w:val="24"/>
          <w:szCs w:val="24"/>
        </w:rPr>
        <w:t>строителство, в т. ч. съфинансирането от страна на бенефициента</w:t>
      </w:r>
      <w:r w:rsidRPr="00BD21AD">
        <w:rPr>
          <w:rFonts w:ascii="Times New Roman" w:hAnsi="Times New Roman" w:cs="Times New Roman"/>
          <w:b/>
          <w:noProof w:val="0"/>
          <w:sz w:val="24"/>
          <w:szCs w:val="24"/>
        </w:rPr>
        <w:t>, без данък върху добавената стойност</w:t>
      </w:r>
      <w:r w:rsidRPr="00BD21AD">
        <w:rPr>
          <w:rFonts w:ascii="Times New Roman" w:hAnsi="Times New Roman" w:cs="Times New Roman"/>
          <w:noProof w:val="0"/>
          <w:sz w:val="24"/>
          <w:szCs w:val="24"/>
        </w:rPr>
        <w:t>, е равна или по-висока от 50 000 лв.;</w:t>
      </w:r>
    </w:p>
    <w:p w:rsidR="00044C29" w:rsidRPr="00BD21AD" w:rsidRDefault="00044C29" w:rsidP="00044C29">
      <w:pPr>
        <w:pStyle w:val="ListParagraph"/>
        <w:numPr>
          <w:ilvl w:val="0"/>
          <w:numId w:val="3"/>
        </w:numPr>
        <w:autoSpaceDE w:val="0"/>
        <w:autoSpaceDN w:val="0"/>
        <w:adjustRightInd w:val="0"/>
        <w:spacing w:after="0" w:line="276" w:lineRule="auto"/>
        <w:ind w:left="0" w:firstLine="360"/>
        <w:jc w:val="both"/>
        <w:rPr>
          <w:rFonts w:ascii="Times New Roman" w:hAnsi="Times New Roman" w:cs="Times New Roman"/>
          <w:noProof w:val="0"/>
          <w:sz w:val="24"/>
          <w:szCs w:val="24"/>
        </w:rPr>
      </w:pPr>
      <w:r w:rsidRPr="00BD21AD">
        <w:rPr>
          <w:rFonts w:ascii="Times New Roman" w:hAnsi="Times New Roman" w:cs="Times New Roman"/>
          <w:noProof w:val="0"/>
          <w:sz w:val="24"/>
          <w:szCs w:val="24"/>
        </w:rPr>
        <w:t xml:space="preserve">Доставки или услуги, в т. ч. съфинансирането от страна на бенефициента, </w:t>
      </w:r>
      <w:r w:rsidRPr="00BD21AD">
        <w:rPr>
          <w:rFonts w:ascii="Times New Roman" w:hAnsi="Times New Roman" w:cs="Times New Roman"/>
          <w:b/>
          <w:noProof w:val="0"/>
          <w:sz w:val="24"/>
          <w:szCs w:val="24"/>
        </w:rPr>
        <w:t>без данък върху добавената стойност</w:t>
      </w:r>
      <w:r w:rsidRPr="00BD21AD">
        <w:rPr>
          <w:rFonts w:ascii="Times New Roman" w:hAnsi="Times New Roman" w:cs="Times New Roman"/>
          <w:noProof w:val="0"/>
          <w:sz w:val="24"/>
          <w:szCs w:val="24"/>
        </w:rPr>
        <w:t>, е равна или по-висока от 30 000 лв.</w:t>
      </w:r>
    </w:p>
    <w:p w:rsidR="00044C29" w:rsidRDefault="00044C29" w:rsidP="00BD21AD">
      <w:pPr>
        <w:tabs>
          <w:tab w:val="left" w:pos="851"/>
        </w:tabs>
        <w:spacing w:line="276" w:lineRule="auto"/>
        <w:jc w:val="both"/>
        <w:rPr>
          <w:rFonts w:ascii="Times New Roman" w:hAnsi="Times New Roman" w:cs="Times New Roman"/>
          <w:sz w:val="24"/>
          <w:szCs w:val="24"/>
        </w:rPr>
      </w:pPr>
    </w:p>
    <w:p w:rsidR="009444C9" w:rsidRPr="00BD21AD" w:rsidRDefault="00B324B3" w:rsidP="00BD21AD">
      <w:pPr>
        <w:tabs>
          <w:tab w:val="left" w:pos="851"/>
        </w:tabs>
        <w:spacing w:line="276" w:lineRule="auto"/>
        <w:jc w:val="both"/>
        <w:rPr>
          <w:rFonts w:ascii="Times New Roman" w:hAnsi="Times New Roman" w:cs="Times New Roman"/>
          <w:b/>
          <w:sz w:val="24"/>
          <w:szCs w:val="24"/>
        </w:rPr>
      </w:pPr>
      <w:r>
        <w:rPr>
          <w:rFonts w:ascii="Times New Roman" w:hAnsi="Times New Roman" w:cs="Times New Roman"/>
          <w:b/>
          <w:sz w:val="24"/>
          <w:szCs w:val="24"/>
        </w:rPr>
        <w:t>При оценка на проектните предложения обръщаме внимание на</w:t>
      </w:r>
      <w:r w:rsidR="00D83159" w:rsidRPr="00BD21AD">
        <w:rPr>
          <w:rFonts w:ascii="Times New Roman" w:hAnsi="Times New Roman" w:cs="Times New Roman"/>
          <w:b/>
          <w:sz w:val="24"/>
          <w:szCs w:val="24"/>
        </w:rPr>
        <w:t xml:space="preserve"> следното:</w:t>
      </w:r>
    </w:p>
    <w:p w:rsidR="00035CC5" w:rsidRPr="001759F5" w:rsidRDefault="00D83159" w:rsidP="00035CC5">
      <w:pPr>
        <w:tabs>
          <w:tab w:val="left" w:pos="851"/>
        </w:tabs>
        <w:spacing w:line="276" w:lineRule="auto"/>
        <w:jc w:val="both"/>
        <w:rPr>
          <w:rFonts w:ascii="Times New Roman" w:hAnsi="Times New Roman" w:cs="Times New Roman"/>
          <w:b/>
          <w:sz w:val="24"/>
          <w:szCs w:val="24"/>
          <w:u w:val="single"/>
        </w:rPr>
      </w:pPr>
      <w:r w:rsidRPr="00BD21AD">
        <w:rPr>
          <w:rFonts w:ascii="Times New Roman" w:hAnsi="Times New Roman" w:cs="Times New Roman"/>
          <w:sz w:val="24"/>
          <w:szCs w:val="24"/>
        </w:rPr>
        <w:t>1. В част от утвърдените условия за кандидатстване</w:t>
      </w:r>
      <w:r w:rsidR="00D53A25">
        <w:rPr>
          <w:rFonts w:ascii="Times New Roman" w:hAnsi="Times New Roman" w:cs="Times New Roman"/>
          <w:sz w:val="24"/>
          <w:szCs w:val="24"/>
          <w:lang w:val="en-US"/>
        </w:rPr>
        <w:t xml:space="preserve"> </w:t>
      </w:r>
      <w:r w:rsidR="00D53A25">
        <w:rPr>
          <w:rFonts w:ascii="Times New Roman" w:hAnsi="Times New Roman" w:cs="Times New Roman"/>
          <w:sz w:val="24"/>
          <w:szCs w:val="24"/>
        </w:rPr>
        <w:t>на МИГ</w:t>
      </w:r>
      <w:r w:rsidRPr="00BD21AD">
        <w:rPr>
          <w:rFonts w:ascii="Times New Roman" w:hAnsi="Times New Roman" w:cs="Times New Roman"/>
          <w:sz w:val="24"/>
          <w:szCs w:val="24"/>
        </w:rPr>
        <w:t xml:space="preserve">, </w:t>
      </w:r>
      <w:r w:rsidR="008C23CB">
        <w:rPr>
          <w:rFonts w:ascii="Times New Roman" w:hAnsi="Times New Roman" w:cs="Times New Roman"/>
          <w:sz w:val="24"/>
          <w:szCs w:val="24"/>
        </w:rPr>
        <w:t xml:space="preserve">които допускат предоставяне на финансова помощ </w:t>
      </w:r>
      <w:r w:rsidRPr="00035CC5">
        <w:rPr>
          <w:rFonts w:ascii="Times New Roman" w:hAnsi="Times New Roman" w:cs="Times New Roman"/>
          <w:b/>
          <w:sz w:val="24"/>
          <w:szCs w:val="24"/>
        </w:rPr>
        <w:t>над 50 %</w:t>
      </w:r>
      <w:r w:rsidR="00D53A25">
        <w:rPr>
          <w:rFonts w:ascii="Times New Roman" w:hAnsi="Times New Roman" w:cs="Times New Roman"/>
          <w:b/>
          <w:sz w:val="24"/>
          <w:szCs w:val="24"/>
        </w:rPr>
        <w:t>, но разходите</w:t>
      </w:r>
      <w:r w:rsidR="00443267" w:rsidRPr="00BD21AD">
        <w:rPr>
          <w:rFonts w:ascii="Times New Roman" w:hAnsi="Times New Roman" w:cs="Times New Roman"/>
          <w:sz w:val="24"/>
          <w:szCs w:val="24"/>
        </w:rPr>
        <w:t xml:space="preserve"> </w:t>
      </w:r>
      <w:r w:rsidR="00D53A25" w:rsidRPr="00035CC5">
        <w:rPr>
          <w:rFonts w:ascii="Times New Roman" w:hAnsi="Times New Roman" w:cs="Times New Roman"/>
          <w:b/>
          <w:sz w:val="24"/>
          <w:szCs w:val="24"/>
        </w:rPr>
        <w:t>са под праговете на чл. 50 от ЗУСЕС</w:t>
      </w:r>
      <w:r w:rsidR="00D53A25">
        <w:rPr>
          <w:rFonts w:ascii="Times New Roman" w:hAnsi="Times New Roman" w:cs="Times New Roman"/>
          <w:b/>
          <w:sz w:val="24"/>
          <w:szCs w:val="24"/>
        </w:rPr>
        <w:t>ИФ,</w:t>
      </w:r>
      <w:r w:rsidR="00D53A25" w:rsidRPr="00035CC5">
        <w:rPr>
          <w:rFonts w:ascii="Times New Roman" w:hAnsi="Times New Roman" w:cs="Times New Roman"/>
          <w:sz w:val="24"/>
          <w:szCs w:val="24"/>
          <w:lang w:val="en-US"/>
        </w:rPr>
        <w:t xml:space="preserve"> </w:t>
      </w:r>
      <w:r w:rsidR="00FB2BF7" w:rsidRPr="001759F5">
        <w:rPr>
          <w:rFonts w:ascii="Times New Roman" w:hAnsi="Times New Roman" w:cs="Times New Roman"/>
          <w:b/>
          <w:sz w:val="24"/>
          <w:szCs w:val="24"/>
          <w:u w:val="single"/>
        </w:rPr>
        <w:t xml:space="preserve">не </w:t>
      </w:r>
      <w:r w:rsidR="008C23CB" w:rsidRPr="001759F5">
        <w:rPr>
          <w:rFonts w:ascii="Times New Roman" w:hAnsi="Times New Roman" w:cs="Times New Roman"/>
          <w:b/>
          <w:sz w:val="24"/>
          <w:szCs w:val="24"/>
          <w:u w:val="single"/>
        </w:rPr>
        <w:t>е</w:t>
      </w:r>
      <w:r w:rsidR="00FB2BF7" w:rsidRPr="001759F5">
        <w:rPr>
          <w:rFonts w:ascii="Times New Roman" w:hAnsi="Times New Roman" w:cs="Times New Roman"/>
          <w:b/>
          <w:sz w:val="24"/>
          <w:szCs w:val="24"/>
          <w:u w:val="single"/>
        </w:rPr>
        <w:t xml:space="preserve"> предвиден</w:t>
      </w:r>
      <w:r w:rsidR="008C23CB" w:rsidRPr="001759F5">
        <w:rPr>
          <w:rFonts w:ascii="Times New Roman" w:hAnsi="Times New Roman" w:cs="Times New Roman"/>
          <w:b/>
          <w:sz w:val="24"/>
          <w:szCs w:val="24"/>
          <w:u w:val="single"/>
        </w:rPr>
        <w:t>о</w:t>
      </w:r>
      <w:r w:rsidR="00FB2BF7" w:rsidRPr="001759F5">
        <w:rPr>
          <w:rFonts w:ascii="Times New Roman" w:hAnsi="Times New Roman" w:cs="Times New Roman"/>
          <w:b/>
          <w:sz w:val="24"/>
          <w:szCs w:val="24"/>
          <w:u w:val="single"/>
        </w:rPr>
        <w:t xml:space="preserve"> предоставяне на предвар</w:t>
      </w:r>
      <w:r w:rsidR="00D53A25" w:rsidRPr="001759F5">
        <w:rPr>
          <w:rFonts w:ascii="Times New Roman" w:hAnsi="Times New Roman" w:cs="Times New Roman"/>
          <w:b/>
          <w:sz w:val="24"/>
          <w:szCs w:val="24"/>
          <w:u w:val="single"/>
        </w:rPr>
        <w:t>ителни или окончателни договори</w:t>
      </w:r>
      <w:r w:rsidR="008C23CB" w:rsidRPr="001759F5">
        <w:rPr>
          <w:rFonts w:ascii="Times New Roman" w:hAnsi="Times New Roman" w:cs="Times New Roman"/>
          <w:b/>
          <w:sz w:val="24"/>
          <w:szCs w:val="24"/>
          <w:u w:val="single"/>
        </w:rPr>
        <w:t xml:space="preserve"> на етап кандидатстване</w:t>
      </w:r>
      <w:r w:rsidR="00D53A25" w:rsidRPr="001759F5">
        <w:rPr>
          <w:rFonts w:ascii="Times New Roman" w:hAnsi="Times New Roman" w:cs="Times New Roman"/>
          <w:b/>
          <w:sz w:val="24"/>
          <w:szCs w:val="24"/>
          <w:u w:val="single"/>
        </w:rPr>
        <w:t>.</w:t>
      </w:r>
      <w:r w:rsidR="000812A8" w:rsidRPr="001759F5">
        <w:rPr>
          <w:rFonts w:ascii="Times New Roman" w:hAnsi="Times New Roman" w:cs="Times New Roman"/>
          <w:b/>
          <w:sz w:val="24"/>
          <w:szCs w:val="24"/>
          <w:u w:val="single"/>
        </w:rPr>
        <w:t xml:space="preserve"> </w:t>
      </w:r>
    </w:p>
    <w:p w:rsidR="00035CC5" w:rsidRPr="00BD21AD" w:rsidRDefault="00035CC5" w:rsidP="00035CC5">
      <w:pPr>
        <w:tabs>
          <w:tab w:val="left" w:pos="851"/>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BD21AD">
        <w:rPr>
          <w:rFonts w:ascii="Times New Roman" w:hAnsi="Times New Roman" w:cs="Times New Roman"/>
          <w:sz w:val="24"/>
          <w:szCs w:val="24"/>
        </w:rPr>
        <w:t>В то</w:t>
      </w:r>
      <w:r>
        <w:rPr>
          <w:rFonts w:ascii="Times New Roman" w:hAnsi="Times New Roman" w:cs="Times New Roman"/>
          <w:sz w:val="24"/>
          <w:szCs w:val="24"/>
        </w:rPr>
        <w:t xml:space="preserve">зи случай оценителната комисия преценява </w:t>
      </w:r>
      <w:r w:rsidR="004B3A90">
        <w:rPr>
          <w:rFonts w:ascii="Times New Roman" w:hAnsi="Times New Roman" w:cs="Times New Roman"/>
          <w:sz w:val="24"/>
          <w:szCs w:val="24"/>
        </w:rPr>
        <w:t xml:space="preserve">само </w:t>
      </w:r>
      <w:r w:rsidRPr="00BD21AD">
        <w:rPr>
          <w:rFonts w:ascii="Times New Roman" w:hAnsi="Times New Roman" w:cs="Times New Roman"/>
          <w:sz w:val="24"/>
          <w:szCs w:val="24"/>
        </w:rPr>
        <w:t xml:space="preserve">обосоноваността на </w:t>
      </w:r>
      <w:r w:rsidR="003806D4">
        <w:rPr>
          <w:rFonts w:ascii="Times New Roman" w:hAnsi="Times New Roman" w:cs="Times New Roman"/>
          <w:sz w:val="24"/>
          <w:szCs w:val="24"/>
        </w:rPr>
        <w:t xml:space="preserve">заявените </w:t>
      </w:r>
      <w:r w:rsidRPr="00BD21AD">
        <w:rPr>
          <w:rFonts w:ascii="Times New Roman" w:hAnsi="Times New Roman" w:cs="Times New Roman"/>
          <w:sz w:val="24"/>
          <w:szCs w:val="24"/>
        </w:rPr>
        <w:t>разходите, чрез методите указани</w:t>
      </w:r>
      <w:r w:rsidR="004B3A90">
        <w:rPr>
          <w:rFonts w:ascii="Times New Roman" w:hAnsi="Times New Roman" w:cs="Times New Roman"/>
          <w:sz w:val="24"/>
          <w:szCs w:val="24"/>
        </w:rPr>
        <w:t xml:space="preserve"> в условията за кандидатстване - </w:t>
      </w:r>
      <w:r w:rsidRPr="00BD21AD">
        <w:rPr>
          <w:rFonts w:ascii="Times New Roman" w:hAnsi="Times New Roman" w:cs="Times New Roman"/>
          <w:sz w:val="24"/>
          <w:szCs w:val="24"/>
        </w:rPr>
        <w:t>най-малко три съпоставими оферти, пазарни консултации, пазарни проучвания, референтни цени</w:t>
      </w:r>
      <w:r>
        <w:rPr>
          <w:rFonts w:ascii="Times New Roman" w:hAnsi="Times New Roman" w:cs="Times New Roman"/>
          <w:sz w:val="24"/>
          <w:szCs w:val="24"/>
        </w:rPr>
        <w:t xml:space="preserve">, а </w:t>
      </w:r>
      <w:r w:rsidRPr="00BD21AD">
        <w:rPr>
          <w:rFonts w:ascii="Times New Roman" w:hAnsi="Times New Roman" w:cs="Times New Roman"/>
          <w:sz w:val="24"/>
          <w:szCs w:val="24"/>
        </w:rPr>
        <w:t xml:space="preserve">кандидатът следва да представи договор с </w:t>
      </w:r>
      <w:r w:rsidR="003806D4">
        <w:rPr>
          <w:rFonts w:ascii="Times New Roman" w:hAnsi="Times New Roman" w:cs="Times New Roman"/>
          <w:sz w:val="24"/>
          <w:szCs w:val="24"/>
        </w:rPr>
        <w:t xml:space="preserve">избран </w:t>
      </w:r>
      <w:r w:rsidRPr="00BD21AD">
        <w:rPr>
          <w:rFonts w:ascii="Times New Roman" w:hAnsi="Times New Roman" w:cs="Times New Roman"/>
          <w:sz w:val="24"/>
          <w:szCs w:val="24"/>
        </w:rPr>
        <w:t>доставчик след сключване на администр</w:t>
      </w:r>
      <w:r w:rsidR="003806D4">
        <w:rPr>
          <w:rFonts w:ascii="Times New Roman" w:hAnsi="Times New Roman" w:cs="Times New Roman"/>
          <w:sz w:val="24"/>
          <w:szCs w:val="24"/>
        </w:rPr>
        <w:t xml:space="preserve">ативния договор с ДФЗ. </w:t>
      </w:r>
      <w:r w:rsidR="004B3A90">
        <w:rPr>
          <w:rFonts w:ascii="Times New Roman" w:hAnsi="Times New Roman" w:cs="Times New Roman"/>
          <w:sz w:val="24"/>
          <w:szCs w:val="24"/>
        </w:rPr>
        <w:t xml:space="preserve">При това положение в административния договор не следва да има посочен изпълнител на услугата/доставката/СМР по проектното предложение. </w:t>
      </w:r>
      <w:r w:rsidR="00422261">
        <w:rPr>
          <w:rFonts w:ascii="Times New Roman" w:hAnsi="Times New Roman" w:cs="Times New Roman"/>
          <w:sz w:val="24"/>
          <w:szCs w:val="24"/>
        </w:rPr>
        <w:t>След сключване на админстративния договор, кандидатът се задължава да представи договор с и</w:t>
      </w:r>
      <w:r w:rsidR="004B3A90">
        <w:rPr>
          <w:rFonts w:ascii="Times New Roman" w:hAnsi="Times New Roman" w:cs="Times New Roman"/>
          <w:sz w:val="24"/>
          <w:szCs w:val="24"/>
        </w:rPr>
        <w:t>зпълнител</w:t>
      </w:r>
      <w:r w:rsidR="00422261">
        <w:rPr>
          <w:rFonts w:ascii="Times New Roman" w:hAnsi="Times New Roman" w:cs="Times New Roman"/>
          <w:sz w:val="24"/>
          <w:szCs w:val="24"/>
        </w:rPr>
        <w:t xml:space="preserve"> за конкретния разход, който се вписва с допълнително споразумение.</w:t>
      </w:r>
      <w:r w:rsidR="00C265F5">
        <w:rPr>
          <w:rFonts w:ascii="Times New Roman" w:hAnsi="Times New Roman" w:cs="Times New Roman"/>
          <w:sz w:val="24"/>
          <w:szCs w:val="24"/>
        </w:rPr>
        <w:t xml:space="preserve"> </w:t>
      </w:r>
    </w:p>
    <w:p w:rsidR="00035CC5" w:rsidRDefault="00035CC5" w:rsidP="00BD21AD">
      <w:pPr>
        <w:tabs>
          <w:tab w:val="left" w:pos="851"/>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00566DC9" w:rsidRPr="00BD21AD">
        <w:rPr>
          <w:rFonts w:ascii="Times New Roman" w:hAnsi="Times New Roman" w:cs="Times New Roman"/>
          <w:sz w:val="24"/>
          <w:szCs w:val="24"/>
        </w:rPr>
        <w:t>Ако</w:t>
      </w:r>
      <w:r>
        <w:rPr>
          <w:rFonts w:ascii="Times New Roman" w:hAnsi="Times New Roman" w:cs="Times New Roman"/>
          <w:sz w:val="24"/>
          <w:szCs w:val="24"/>
        </w:rPr>
        <w:t xml:space="preserve"> обаче</w:t>
      </w:r>
      <w:r w:rsidR="00566DC9" w:rsidRPr="00BD21AD">
        <w:rPr>
          <w:rFonts w:ascii="Times New Roman" w:hAnsi="Times New Roman" w:cs="Times New Roman"/>
          <w:sz w:val="24"/>
          <w:szCs w:val="24"/>
        </w:rPr>
        <w:t>, кандидатът е представил договор</w:t>
      </w:r>
      <w:r w:rsidR="00443267" w:rsidRPr="00BD21AD">
        <w:rPr>
          <w:rFonts w:ascii="Times New Roman" w:hAnsi="Times New Roman" w:cs="Times New Roman"/>
          <w:sz w:val="24"/>
          <w:szCs w:val="24"/>
        </w:rPr>
        <w:t xml:space="preserve"> за доставка/услуга/</w:t>
      </w:r>
      <w:r w:rsidR="00A45794">
        <w:rPr>
          <w:rFonts w:ascii="Times New Roman" w:hAnsi="Times New Roman" w:cs="Times New Roman"/>
          <w:sz w:val="24"/>
          <w:szCs w:val="24"/>
        </w:rPr>
        <w:t>СМР</w:t>
      </w:r>
      <w:r w:rsidR="00D775C6">
        <w:rPr>
          <w:rFonts w:ascii="Times New Roman" w:hAnsi="Times New Roman" w:cs="Times New Roman"/>
          <w:sz w:val="24"/>
          <w:szCs w:val="24"/>
        </w:rPr>
        <w:t xml:space="preserve"> още на етап кандидатстване</w:t>
      </w:r>
      <w:r w:rsidR="00566DC9" w:rsidRPr="00BD21AD">
        <w:rPr>
          <w:rFonts w:ascii="Times New Roman" w:hAnsi="Times New Roman" w:cs="Times New Roman"/>
          <w:sz w:val="24"/>
          <w:szCs w:val="24"/>
        </w:rPr>
        <w:t>, въпреки че същия</w:t>
      </w:r>
      <w:r w:rsidR="002443C3">
        <w:rPr>
          <w:rFonts w:ascii="Times New Roman" w:hAnsi="Times New Roman" w:cs="Times New Roman"/>
          <w:sz w:val="24"/>
          <w:szCs w:val="24"/>
        </w:rPr>
        <w:t>т</w:t>
      </w:r>
      <w:r w:rsidR="00566DC9" w:rsidRPr="00BD21AD">
        <w:rPr>
          <w:rFonts w:ascii="Times New Roman" w:hAnsi="Times New Roman" w:cs="Times New Roman"/>
          <w:sz w:val="24"/>
          <w:szCs w:val="24"/>
        </w:rPr>
        <w:t xml:space="preserve"> </w:t>
      </w:r>
      <w:r w:rsidR="007B5395">
        <w:rPr>
          <w:rFonts w:ascii="Times New Roman" w:hAnsi="Times New Roman" w:cs="Times New Roman"/>
          <w:sz w:val="24"/>
          <w:szCs w:val="24"/>
        </w:rPr>
        <w:t>не е изискуем, съгласно условията за кандидатства</w:t>
      </w:r>
      <w:r w:rsidR="00B549D6">
        <w:rPr>
          <w:rFonts w:ascii="Times New Roman" w:hAnsi="Times New Roman" w:cs="Times New Roman"/>
          <w:sz w:val="24"/>
          <w:szCs w:val="24"/>
        </w:rPr>
        <w:t>,</w:t>
      </w:r>
      <w:r w:rsidR="00566DC9" w:rsidRPr="00BD21AD">
        <w:rPr>
          <w:rFonts w:ascii="Times New Roman" w:hAnsi="Times New Roman" w:cs="Times New Roman"/>
          <w:sz w:val="24"/>
          <w:szCs w:val="24"/>
        </w:rPr>
        <w:t xml:space="preserve"> то оценителната комисия сле</w:t>
      </w:r>
      <w:r w:rsidR="003A25A3">
        <w:rPr>
          <w:rFonts w:ascii="Times New Roman" w:hAnsi="Times New Roman" w:cs="Times New Roman"/>
          <w:sz w:val="24"/>
          <w:szCs w:val="24"/>
        </w:rPr>
        <w:t>два да уведоми кандидат</w:t>
      </w:r>
      <w:r w:rsidR="002443C3">
        <w:rPr>
          <w:rFonts w:ascii="Times New Roman" w:hAnsi="Times New Roman" w:cs="Times New Roman"/>
          <w:sz w:val="24"/>
          <w:szCs w:val="24"/>
        </w:rPr>
        <w:t xml:space="preserve">а, че документът не е изискуем и </w:t>
      </w:r>
      <w:r w:rsidR="008B1328">
        <w:rPr>
          <w:rFonts w:ascii="Times New Roman" w:hAnsi="Times New Roman" w:cs="Times New Roman"/>
          <w:sz w:val="24"/>
          <w:szCs w:val="24"/>
        </w:rPr>
        <w:t>да го запита</w:t>
      </w:r>
      <w:r w:rsidR="002443C3">
        <w:rPr>
          <w:rFonts w:ascii="Times New Roman" w:hAnsi="Times New Roman" w:cs="Times New Roman"/>
          <w:sz w:val="24"/>
          <w:szCs w:val="24"/>
        </w:rPr>
        <w:t xml:space="preserve"> с писмото, дали </w:t>
      </w:r>
      <w:r w:rsidR="007B5395">
        <w:rPr>
          <w:rFonts w:ascii="Times New Roman" w:hAnsi="Times New Roman" w:cs="Times New Roman"/>
          <w:sz w:val="24"/>
          <w:szCs w:val="24"/>
        </w:rPr>
        <w:t>избрания от него</w:t>
      </w:r>
      <w:r w:rsidR="003A25A3">
        <w:rPr>
          <w:rFonts w:ascii="Times New Roman" w:hAnsi="Times New Roman" w:cs="Times New Roman"/>
          <w:sz w:val="24"/>
          <w:szCs w:val="24"/>
        </w:rPr>
        <w:t xml:space="preserve"> </w:t>
      </w:r>
      <w:r w:rsidR="007B5395">
        <w:rPr>
          <w:rFonts w:ascii="Times New Roman" w:hAnsi="Times New Roman" w:cs="Times New Roman"/>
          <w:sz w:val="24"/>
          <w:szCs w:val="24"/>
        </w:rPr>
        <w:t>изпълнител</w:t>
      </w:r>
      <w:r w:rsidR="003A25A3">
        <w:rPr>
          <w:rFonts w:ascii="Times New Roman" w:hAnsi="Times New Roman" w:cs="Times New Roman"/>
          <w:sz w:val="24"/>
          <w:szCs w:val="24"/>
        </w:rPr>
        <w:t xml:space="preserve"> </w:t>
      </w:r>
      <w:r w:rsidR="007B5395">
        <w:rPr>
          <w:rFonts w:ascii="Times New Roman" w:hAnsi="Times New Roman" w:cs="Times New Roman"/>
          <w:sz w:val="24"/>
          <w:szCs w:val="24"/>
        </w:rPr>
        <w:t>следва</w:t>
      </w:r>
      <w:r w:rsidR="003A25A3">
        <w:rPr>
          <w:rFonts w:ascii="Times New Roman" w:hAnsi="Times New Roman" w:cs="Times New Roman"/>
          <w:sz w:val="24"/>
          <w:szCs w:val="24"/>
        </w:rPr>
        <w:t xml:space="preserve"> да бъде вписан при евентуално сключване на административен договор</w:t>
      </w:r>
      <w:r w:rsidR="002443C3">
        <w:rPr>
          <w:rFonts w:ascii="Times New Roman" w:hAnsi="Times New Roman" w:cs="Times New Roman"/>
          <w:sz w:val="24"/>
          <w:szCs w:val="24"/>
        </w:rPr>
        <w:t xml:space="preserve"> с ДФЗ</w:t>
      </w:r>
      <w:r w:rsidR="006025FF">
        <w:rPr>
          <w:rFonts w:ascii="Times New Roman" w:hAnsi="Times New Roman" w:cs="Times New Roman"/>
          <w:sz w:val="24"/>
          <w:szCs w:val="24"/>
        </w:rPr>
        <w:t>. В случай</w:t>
      </w:r>
      <w:r w:rsidR="003A25A3">
        <w:rPr>
          <w:rFonts w:ascii="Times New Roman" w:hAnsi="Times New Roman" w:cs="Times New Roman"/>
          <w:sz w:val="24"/>
          <w:szCs w:val="24"/>
        </w:rPr>
        <w:t>,</w:t>
      </w:r>
      <w:r w:rsidR="006025FF">
        <w:rPr>
          <w:rFonts w:ascii="Times New Roman" w:hAnsi="Times New Roman" w:cs="Times New Roman"/>
          <w:sz w:val="24"/>
          <w:szCs w:val="24"/>
        </w:rPr>
        <w:t xml:space="preserve"> </w:t>
      </w:r>
      <w:r w:rsidR="003A25A3">
        <w:rPr>
          <w:rFonts w:ascii="Times New Roman" w:hAnsi="Times New Roman" w:cs="Times New Roman"/>
          <w:sz w:val="24"/>
          <w:szCs w:val="24"/>
        </w:rPr>
        <w:t xml:space="preserve">че кандидатът потвърди това обстоятелство, то оценителната комисия следва </w:t>
      </w:r>
      <w:r>
        <w:rPr>
          <w:rFonts w:ascii="Times New Roman" w:hAnsi="Times New Roman" w:cs="Times New Roman"/>
          <w:sz w:val="24"/>
          <w:szCs w:val="24"/>
        </w:rPr>
        <w:t>да обследва представения</w:t>
      </w:r>
      <w:r w:rsidR="00F95390">
        <w:rPr>
          <w:rFonts w:ascii="Times New Roman" w:hAnsi="Times New Roman" w:cs="Times New Roman"/>
          <w:sz w:val="24"/>
          <w:szCs w:val="24"/>
        </w:rPr>
        <w:t xml:space="preserve"> договор за избор на изпълнител и съответно да се впише в административния договор.</w:t>
      </w:r>
    </w:p>
    <w:p w:rsidR="00443267" w:rsidRPr="00BD21AD" w:rsidRDefault="00443267" w:rsidP="00BD21AD">
      <w:pPr>
        <w:tabs>
          <w:tab w:val="left" w:pos="851"/>
        </w:tabs>
        <w:spacing w:line="276" w:lineRule="auto"/>
        <w:jc w:val="both"/>
        <w:rPr>
          <w:rFonts w:ascii="Times New Roman" w:hAnsi="Times New Roman" w:cs="Times New Roman"/>
          <w:sz w:val="24"/>
          <w:szCs w:val="24"/>
        </w:rPr>
      </w:pPr>
    </w:p>
    <w:p w:rsidR="00443267" w:rsidRPr="00BD21AD" w:rsidRDefault="00443267" w:rsidP="00BD21AD">
      <w:pPr>
        <w:tabs>
          <w:tab w:val="left" w:pos="851"/>
        </w:tabs>
        <w:spacing w:line="276" w:lineRule="auto"/>
        <w:jc w:val="both"/>
        <w:rPr>
          <w:rFonts w:ascii="Times New Roman" w:hAnsi="Times New Roman" w:cs="Times New Roman"/>
          <w:sz w:val="24"/>
          <w:szCs w:val="24"/>
        </w:rPr>
      </w:pPr>
      <w:r w:rsidRPr="00BD21AD">
        <w:rPr>
          <w:rFonts w:ascii="Times New Roman" w:hAnsi="Times New Roman" w:cs="Times New Roman"/>
          <w:sz w:val="24"/>
          <w:szCs w:val="24"/>
        </w:rPr>
        <w:t>2. Когато в условията за кандидатстване се изисква представяне на договор за  доставка/услуга/</w:t>
      </w:r>
      <w:r w:rsidR="002A77BB">
        <w:rPr>
          <w:rFonts w:ascii="Times New Roman" w:hAnsi="Times New Roman" w:cs="Times New Roman"/>
          <w:sz w:val="24"/>
          <w:szCs w:val="24"/>
        </w:rPr>
        <w:t>СМР</w:t>
      </w:r>
      <w:r w:rsidRPr="00BD21AD">
        <w:rPr>
          <w:rFonts w:ascii="Times New Roman" w:hAnsi="Times New Roman" w:cs="Times New Roman"/>
          <w:sz w:val="24"/>
          <w:szCs w:val="24"/>
        </w:rPr>
        <w:t xml:space="preserve">, но </w:t>
      </w:r>
      <w:r w:rsidR="002A77BB">
        <w:rPr>
          <w:rFonts w:ascii="Times New Roman" w:hAnsi="Times New Roman" w:cs="Times New Roman"/>
          <w:sz w:val="24"/>
          <w:szCs w:val="24"/>
        </w:rPr>
        <w:t xml:space="preserve">на етап оценка се установи, че </w:t>
      </w:r>
      <w:r w:rsidRPr="00BD21AD">
        <w:rPr>
          <w:rFonts w:ascii="Times New Roman" w:hAnsi="Times New Roman" w:cs="Times New Roman"/>
          <w:sz w:val="24"/>
          <w:szCs w:val="24"/>
        </w:rPr>
        <w:t xml:space="preserve">кандидатът следва да проведе процедура по реда на ПМС 160, то оценителната комисия </w:t>
      </w:r>
      <w:r w:rsidR="002A77BB">
        <w:rPr>
          <w:rFonts w:ascii="Times New Roman" w:hAnsi="Times New Roman" w:cs="Times New Roman"/>
          <w:sz w:val="24"/>
          <w:szCs w:val="24"/>
        </w:rPr>
        <w:t>уведомява за това</w:t>
      </w:r>
      <w:r w:rsidR="007B5D58" w:rsidRPr="00BD21AD">
        <w:rPr>
          <w:rFonts w:ascii="Times New Roman" w:hAnsi="Times New Roman" w:cs="Times New Roman"/>
          <w:sz w:val="24"/>
          <w:szCs w:val="24"/>
        </w:rPr>
        <w:t xml:space="preserve"> кандидата</w:t>
      </w:r>
      <w:r w:rsidR="002A77BB">
        <w:rPr>
          <w:rFonts w:ascii="Times New Roman" w:hAnsi="Times New Roman" w:cs="Times New Roman"/>
          <w:sz w:val="24"/>
          <w:szCs w:val="24"/>
        </w:rPr>
        <w:t>.</w:t>
      </w:r>
      <w:r w:rsidR="007B5D58" w:rsidRPr="00BD21AD">
        <w:rPr>
          <w:rFonts w:ascii="Times New Roman" w:hAnsi="Times New Roman" w:cs="Times New Roman"/>
          <w:sz w:val="24"/>
          <w:szCs w:val="24"/>
        </w:rPr>
        <w:t xml:space="preserve"> </w:t>
      </w:r>
      <w:r w:rsidR="00CC26F9">
        <w:rPr>
          <w:rFonts w:ascii="Times New Roman" w:hAnsi="Times New Roman" w:cs="Times New Roman"/>
          <w:sz w:val="24"/>
          <w:szCs w:val="24"/>
        </w:rPr>
        <w:t>В този случай се извършва само</w:t>
      </w:r>
      <w:r w:rsidR="002A77BB">
        <w:rPr>
          <w:rFonts w:ascii="Times New Roman" w:hAnsi="Times New Roman" w:cs="Times New Roman"/>
          <w:sz w:val="24"/>
          <w:szCs w:val="24"/>
        </w:rPr>
        <w:t xml:space="preserve"> п</w:t>
      </w:r>
      <w:r w:rsidR="007B5D58" w:rsidRPr="00BD21AD">
        <w:rPr>
          <w:rFonts w:ascii="Times New Roman" w:hAnsi="Times New Roman" w:cs="Times New Roman"/>
          <w:sz w:val="24"/>
          <w:szCs w:val="24"/>
        </w:rPr>
        <w:t xml:space="preserve">реценка </w:t>
      </w:r>
      <w:r w:rsidR="002A77BB">
        <w:rPr>
          <w:rFonts w:ascii="Times New Roman" w:hAnsi="Times New Roman" w:cs="Times New Roman"/>
          <w:sz w:val="24"/>
          <w:szCs w:val="24"/>
        </w:rPr>
        <w:t>за обосоноваността на разходите</w:t>
      </w:r>
      <w:r w:rsidR="007B5D58" w:rsidRPr="00BD21AD">
        <w:rPr>
          <w:rFonts w:ascii="Times New Roman" w:hAnsi="Times New Roman" w:cs="Times New Roman"/>
          <w:sz w:val="24"/>
          <w:szCs w:val="24"/>
        </w:rPr>
        <w:t xml:space="preserve"> чрез методите</w:t>
      </w:r>
      <w:r w:rsidR="006025FF">
        <w:rPr>
          <w:rFonts w:ascii="Times New Roman" w:hAnsi="Times New Roman" w:cs="Times New Roman"/>
          <w:sz w:val="24"/>
          <w:szCs w:val="24"/>
        </w:rPr>
        <w:t>,</w:t>
      </w:r>
      <w:r w:rsidR="007B5D58" w:rsidRPr="00BD21AD">
        <w:rPr>
          <w:rFonts w:ascii="Times New Roman" w:hAnsi="Times New Roman" w:cs="Times New Roman"/>
          <w:sz w:val="24"/>
          <w:szCs w:val="24"/>
        </w:rPr>
        <w:t xml:space="preserve"> указани</w:t>
      </w:r>
      <w:r w:rsidR="002A77BB">
        <w:rPr>
          <w:rFonts w:ascii="Times New Roman" w:hAnsi="Times New Roman" w:cs="Times New Roman"/>
          <w:sz w:val="24"/>
          <w:szCs w:val="24"/>
        </w:rPr>
        <w:t xml:space="preserve"> в условията за кандидатстване - </w:t>
      </w:r>
      <w:r w:rsidR="007B5D58" w:rsidRPr="00BD21AD">
        <w:rPr>
          <w:rFonts w:ascii="Times New Roman" w:hAnsi="Times New Roman" w:cs="Times New Roman"/>
          <w:sz w:val="24"/>
          <w:szCs w:val="24"/>
        </w:rPr>
        <w:t>най-малко три съпоставими оферти, пазарни консултации, паза</w:t>
      </w:r>
      <w:r w:rsidR="002A77BB">
        <w:rPr>
          <w:rFonts w:ascii="Times New Roman" w:hAnsi="Times New Roman" w:cs="Times New Roman"/>
          <w:sz w:val="24"/>
          <w:szCs w:val="24"/>
        </w:rPr>
        <w:t>рни проучвания, референтни цени</w:t>
      </w:r>
      <w:r w:rsidR="007B5D58" w:rsidRPr="00BD21AD">
        <w:rPr>
          <w:rFonts w:ascii="Times New Roman" w:hAnsi="Times New Roman" w:cs="Times New Roman"/>
          <w:sz w:val="24"/>
          <w:szCs w:val="24"/>
        </w:rPr>
        <w:t xml:space="preserve">, без да </w:t>
      </w:r>
      <w:r w:rsidR="006025FF">
        <w:rPr>
          <w:rFonts w:ascii="Times New Roman" w:hAnsi="Times New Roman" w:cs="Times New Roman"/>
          <w:sz w:val="24"/>
          <w:szCs w:val="24"/>
        </w:rPr>
        <w:t xml:space="preserve">се </w:t>
      </w:r>
      <w:r w:rsidR="007B5D58" w:rsidRPr="00BD21AD">
        <w:rPr>
          <w:rFonts w:ascii="Times New Roman" w:hAnsi="Times New Roman" w:cs="Times New Roman"/>
          <w:sz w:val="24"/>
          <w:szCs w:val="24"/>
        </w:rPr>
        <w:t>обследва</w:t>
      </w:r>
      <w:r w:rsidR="006025FF">
        <w:rPr>
          <w:rFonts w:ascii="Times New Roman" w:hAnsi="Times New Roman" w:cs="Times New Roman"/>
          <w:sz w:val="24"/>
          <w:szCs w:val="24"/>
        </w:rPr>
        <w:t>т</w:t>
      </w:r>
      <w:r w:rsidR="007B5D58" w:rsidRPr="00BD21AD">
        <w:rPr>
          <w:rFonts w:ascii="Times New Roman" w:hAnsi="Times New Roman" w:cs="Times New Roman"/>
          <w:sz w:val="24"/>
          <w:szCs w:val="24"/>
        </w:rPr>
        <w:t xml:space="preserve"> представените </w:t>
      </w:r>
      <w:r w:rsidR="00073E04" w:rsidRPr="00BD21AD">
        <w:rPr>
          <w:rFonts w:ascii="Times New Roman" w:hAnsi="Times New Roman" w:cs="Times New Roman"/>
          <w:sz w:val="24"/>
          <w:szCs w:val="24"/>
        </w:rPr>
        <w:t xml:space="preserve">от кандидата </w:t>
      </w:r>
      <w:r w:rsidR="004225D1">
        <w:rPr>
          <w:rFonts w:ascii="Times New Roman" w:hAnsi="Times New Roman" w:cs="Times New Roman"/>
          <w:sz w:val="24"/>
          <w:szCs w:val="24"/>
        </w:rPr>
        <w:t>договори за избор на доставчик, като не се вписва изпълнител при сключване на административен договор с ДФЗ.</w:t>
      </w:r>
    </w:p>
    <w:p w:rsidR="002154ED" w:rsidRPr="00BD21AD" w:rsidRDefault="00300D3C" w:rsidP="00BD21AD">
      <w:pPr>
        <w:tabs>
          <w:tab w:val="left" w:pos="851"/>
        </w:tabs>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300D3C" w:rsidRPr="00300D3C" w:rsidRDefault="00300D3C" w:rsidP="00300D3C">
      <w:pPr>
        <w:tabs>
          <w:tab w:val="left" w:pos="851"/>
        </w:tabs>
        <w:spacing w:line="276" w:lineRule="auto"/>
        <w:jc w:val="center"/>
        <w:rPr>
          <w:rFonts w:ascii="Times New Roman" w:hAnsi="Times New Roman" w:cs="Times New Roman"/>
          <w:b/>
          <w:sz w:val="24"/>
          <w:szCs w:val="24"/>
          <w:u w:val="single"/>
        </w:rPr>
      </w:pPr>
      <w:r w:rsidRPr="00300D3C">
        <w:rPr>
          <w:rFonts w:ascii="Times New Roman" w:hAnsi="Times New Roman" w:cs="Times New Roman"/>
          <w:b/>
          <w:sz w:val="24"/>
          <w:szCs w:val="24"/>
          <w:u w:val="single"/>
        </w:rPr>
        <w:t>ПРИМЕРИ  ЗА ПРИЛАГАНЕ НА ПМС160/2016 Г.:</w:t>
      </w:r>
    </w:p>
    <w:p w:rsidR="002154ED" w:rsidRPr="00BD21AD" w:rsidRDefault="00300D3C" w:rsidP="00BD21AD">
      <w:pPr>
        <w:tabs>
          <w:tab w:val="left" w:pos="851"/>
        </w:tabs>
        <w:spacing w:line="276" w:lineRule="auto"/>
        <w:jc w:val="both"/>
        <w:rPr>
          <w:rFonts w:ascii="Times New Roman" w:hAnsi="Times New Roman" w:cs="Times New Roman"/>
          <w:b/>
          <w:sz w:val="24"/>
          <w:szCs w:val="24"/>
        </w:rPr>
      </w:pPr>
      <w:r>
        <w:rPr>
          <w:rFonts w:ascii="Times New Roman" w:hAnsi="Times New Roman" w:cs="Times New Roman"/>
          <w:b/>
          <w:sz w:val="24"/>
          <w:szCs w:val="24"/>
        </w:rPr>
        <w:t>ТАБЛИЦА№ 1:</w:t>
      </w:r>
      <w:r w:rsidR="001D7771" w:rsidRPr="00BD21AD">
        <w:rPr>
          <w:rFonts w:ascii="Times New Roman" w:hAnsi="Times New Roman" w:cs="Times New Roman"/>
          <w:b/>
          <w:sz w:val="24"/>
          <w:szCs w:val="24"/>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
        <w:gridCol w:w="6007"/>
        <w:gridCol w:w="3104"/>
      </w:tblGrid>
      <w:tr w:rsidR="001D7771" w:rsidRPr="00F63092" w:rsidTr="000D0CB5">
        <w:trPr>
          <w:trHeight w:val="300"/>
        </w:trPr>
        <w:tc>
          <w:tcPr>
            <w:tcW w:w="9493" w:type="dxa"/>
            <w:gridSpan w:val="3"/>
            <w:shd w:val="clear" w:color="000000" w:fill="D9D9D9"/>
            <w:vAlign w:val="bottom"/>
            <w:hideMark/>
          </w:tcPr>
          <w:p w:rsidR="001D7771" w:rsidRPr="00F63092" w:rsidRDefault="00C536A8" w:rsidP="00BD21AD">
            <w:pPr>
              <w:spacing w:after="0" w:line="276" w:lineRule="auto"/>
              <w:jc w:val="center"/>
              <w:rPr>
                <w:rFonts w:ascii="Times New Roman" w:eastAsia="Times New Roman" w:hAnsi="Times New Roman" w:cs="Times New Roman"/>
                <w:b/>
                <w:bCs/>
                <w:noProof w:val="0"/>
                <w:color w:val="000000"/>
                <w:sz w:val="20"/>
                <w:szCs w:val="20"/>
                <w:lang w:eastAsia="bg-BG"/>
              </w:rPr>
            </w:pPr>
            <w:r w:rsidRPr="00F63092">
              <w:rPr>
                <w:rFonts w:ascii="Times New Roman" w:eastAsia="Times New Roman" w:hAnsi="Times New Roman" w:cs="Times New Roman"/>
                <w:b/>
                <w:bCs/>
                <w:noProof w:val="0"/>
                <w:color w:val="000000"/>
                <w:sz w:val="20"/>
                <w:szCs w:val="20"/>
                <w:lang w:eastAsia="bg-BG"/>
              </w:rPr>
              <w:t>Таблица за одобрени разходи</w:t>
            </w:r>
          </w:p>
        </w:tc>
      </w:tr>
      <w:tr w:rsidR="001D7771" w:rsidRPr="00F63092" w:rsidTr="000D0CB5">
        <w:trPr>
          <w:trHeight w:val="630"/>
        </w:trPr>
        <w:tc>
          <w:tcPr>
            <w:tcW w:w="382" w:type="dxa"/>
            <w:shd w:val="clear" w:color="000000" w:fill="F2F2F2"/>
            <w:noWrap/>
            <w:vAlign w:val="center"/>
            <w:hideMark/>
          </w:tcPr>
          <w:p w:rsidR="001D7771" w:rsidRPr="00F63092" w:rsidRDefault="001D7771" w:rsidP="00BD21AD">
            <w:pPr>
              <w:spacing w:after="0" w:line="276" w:lineRule="auto"/>
              <w:jc w:val="center"/>
              <w:rPr>
                <w:rFonts w:ascii="Times New Roman" w:eastAsia="Times New Roman" w:hAnsi="Times New Roman" w:cs="Times New Roman"/>
                <w:b/>
                <w:bCs/>
                <w:noProof w:val="0"/>
                <w:color w:val="000000"/>
                <w:sz w:val="20"/>
                <w:szCs w:val="20"/>
                <w:lang w:eastAsia="bg-BG"/>
              </w:rPr>
            </w:pPr>
            <w:r w:rsidRPr="00F63092">
              <w:rPr>
                <w:rFonts w:ascii="Times New Roman" w:eastAsia="Times New Roman" w:hAnsi="Times New Roman" w:cs="Times New Roman"/>
                <w:b/>
                <w:bCs/>
                <w:noProof w:val="0"/>
                <w:color w:val="000000"/>
                <w:sz w:val="20"/>
                <w:szCs w:val="20"/>
                <w:lang w:eastAsia="bg-BG"/>
              </w:rPr>
              <w:t>№</w:t>
            </w:r>
          </w:p>
        </w:tc>
        <w:tc>
          <w:tcPr>
            <w:tcW w:w="6007" w:type="dxa"/>
            <w:shd w:val="clear" w:color="000000" w:fill="F2F2F2"/>
            <w:noWrap/>
            <w:vAlign w:val="center"/>
            <w:hideMark/>
          </w:tcPr>
          <w:p w:rsidR="001D7771" w:rsidRPr="00F63092" w:rsidRDefault="001D7771" w:rsidP="00BD21AD">
            <w:pPr>
              <w:spacing w:after="0" w:line="276" w:lineRule="auto"/>
              <w:rPr>
                <w:rFonts w:ascii="Times New Roman" w:eastAsia="Times New Roman" w:hAnsi="Times New Roman" w:cs="Times New Roman"/>
                <w:b/>
                <w:bCs/>
                <w:noProof w:val="0"/>
                <w:sz w:val="20"/>
                <w:szCs w:val="20"/>
                <w:lang w:eastAsia="bg-BG"/>
              </w:rPr>
            </w:pPr>
            <w:r w:rsidRPr="00F63092">
              <w:rPr>
                <w:rFonts w:ascii="Times New Roman" w:eastAsia="Times New Roman" w:hAnsi="Times New Roman" w:cs="Times New Roman"/>
                <w:b/>
                <w:bCs/>
                <w:noProof w:val="0"/>
                <w:sz w:val="20"/>
                <w:szCs w:val="20"/>
                <w:lang w:eastAsia="bg-BG"/>
              </w:rPr>
              <w:t>Одобрени разходи</w:t>
            </w:r>
          </w:p>
        </w:tc>
        <w:tc>
          <w:tcPr>
            <w:tcW w:w="3104" w:type="dxa"/>
            <w:shd w:val="clear" w:color="000000" w:fill="F2F2F2"/>
            <w:vAlign w:val="center"/>
            <w:hideMark/>
          </w:tcPr>
          <w:p w:rsidR="001D7771" w:rsidRPr="00F63092" w:rsidRDefault="001D7771" w:rsidP="00BD21AD">
            <w:pPr>
              <w:spacing w:after="0" w:line="276" w:lineRule="auto"/>
              <w:rPr>
                <w:rFonts w:ascii="Times New Roman" w:eastAsia="Times New Roman" w:hAnsi="Times New Roman" w:cs="Times New Roman"/>
                <w:b/>
                <w:bCs/>
                <w:noProof w:val="0"/>
                <w:sz w:val="20"/>
                <w:szCs w:val="20"/>
                <w:lang w:eastAsia="bg-BG"/>
              </w:rPr>
            </w:pPr>
            <w:r w:rsidRPr="00F63092">
              <w:rPr>
                <w:rFonts w:ascii="Times New Roman" w:eastAsia="Times New Roman" w:hAnsi="Times New Roman" w:cs="Times New Roman"/>
                <w:b/>
                <w:bCs/>
                <w:noProof w:val="0"/>
                <w:sz w:val="20"/>
                <w:szCs w:val="20"/>
                <w:lang w:eastAsia="bg-BG"/>
              </w:rPr>
              <w:t>Одобрена сума /лв./ без ДДС</w:t>
            </w:r>
          </w:p>
        </w:tc>
      </w:tr>
      <w:tr w:rsidR="001D7771" w:rsidRPr="00F63092" w:rsidTr="000D0CB5">
        <w:trPr>
          <w:trHeight w:val="315"/>
        </w:trPr>
        <w:tc>
          <w:tcPr>
            <w:tcW w:w="382" w:type="dxa"/>
            <w:shd w:val="clear" w:color="auto" w:fill="auto"/>
            <w:noWrap/>
            <w:vAlign w:val="bottom"/>
            <w:hideMark/>
          </w:tcPr>
          <w:p w:rsidR="001D7771" w:rsidRPr="00F63092" w:rsidRDefault="001D7771"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1</w:t>
            </w:r>
          </w:p>
        </w:tc>
        <w:tc>
          <w:tcPr>
            <w:tcW w:w="6007" w:type="dxa"/>
            <w:shd w:val="clear" w:color="auto" w:fill="auto"/>
            <w:vAlign w:val="bottom"/>
            <w:hideMark/>
          </w:tcPr>
          <w:p w:rsidR="001D7771" w:rsidRPr="00F63092" w:rsidRDefault="001D7771" w:rsidP="00BD21AD">
            <w:pPr>
              <w:spacing w:after="0" w:line="276" w:lineRule="auto"/>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Настолен компютър</w:t>
            </w:r>
          </w:p>
        </w:tc>
        <w:tc>
          <w:tcPr>
            <w:tcW w:w="3104" w:type="dxa"/>
            <w:shd w:val="clear" w:color="000000" w:fill="FFFFFF"/>
            <w:vAlign w:val="center"/>
            <w:hideMark/>
          </w:tcPr>
          <w:p w:rsidR="001D7771" w:rsidRPr="00F63092" w:rsidRDefault="001D7771"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20 000,00</w:t>
            </w:r>
          </w:p>
        </w:tc>
      </w:tr>
      <w:tr w:rsidR="001D7771" w:rsidRPr="00F63092" w:rsidTr="000D0CB5">
        <w:trPr>
          <w:trHeight w:val="315"/>
        </w:trPr>
        <w:tc>
          <w:tcPr>
            <w:tcW w:w="382" w:type="dxa"/>
            <w:shd w:val="clear" w:color="auto" w:fill="auto"/>
            <w:noWrap/>
            <w:vAlign w:val="bottom"/>
            <w:hideMark/>
          </w:tcPr>
          <w:p w:rsidR="001D7771" w:rsidRPr="00F63092" w:rsidRDefault="001D7771"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2</w:t>
            </w:r>
          </w:p>
        </w:tc>
        <w:tc>
          <w:tcPr>
            <w:tcW w:w="6007" w:type="dxa"/>
            <w:shd w:val="clear" w:color="auto" w:fill="auto"/>
            <w:noWrap/>
            <w:vAlign w:val="bottom"/>
            <w:hideMark/>
          </w:tcPr>
          <w:p w:rsidR="001D7771" w:rsidRPr="00F63092" w:rsidRDefault="001D7771" w:rsidP="00BD21AD">
            <w:pPr>
              <w:spacing w:after="0" w:line="276" w:lineRule="auto"/>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Монитор</w:t>
            </w:r>
          </w:p>
        </w:tc>
        <w:tc>
          <w:tcPr>
            <w:tcW w:w="3104" w:type="dxa"/>
            <w:shd w:val="clear" w:color="000000" w:fill="FFFFFF"/>
            <w:vAlign w:val="center"/>
            <w:hideMark/>
          </w:tcPr>
          <w:p w:rsidR="001D7771" w:rsidRPr="00F63092" w:rsidRDefault="001D7771"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400,00</w:t>
            </w:r>
          </w:p>
        </w:tc>
      </w:tr>
      <w:tr w:rsidR="001D7771" w:rsidRPr="00F63092" w:rsidTr="000D0CB5">
        <w:trPr>
          <w:trHeight w:val="315"/>
        </w:trPr>
        <w:tc>
          <w:tcPr>
            <w:tcW w:w="382" w:type="dxa"/>
            <w:shd w:val="clear" w:color="auto" w:fill="auto"/>
            <w:noWrap/>
            <w:vAlign w:val="bottom"/>
            <w:hideMark/>
          </w:tcPr>
          <w:p w:rsidR="001D7771" w:rsidRPr="00F63092" w:rsidRDefault="001D7771"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3</w:t>
            </w:r>
          </w:p>
        </w:tc>
        <w:tc>
          <w:tcPr>
            <w:tcW w:w="6007" w:type="dxa"/>
            <w:shd w:val="clear" w:color="auto" w:fill="auto"/>
            <w:noWrap/>
            <w:vAlign w:val="bottom"/>
            <w:hideMark/>
          </w:tcPr>
          <w:p w:rsidR="001D7771" w:rsidRPr="00F63092" w:rsidRDefault="001D7771" w:rsidP="00BD21AD">
            <w:pPr>
              <w:spacing w:after="0" w:line="276" w:lineRule="auto"/>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Лаптоп</w:t>
            </w:r>
          </w:p>
        </w:tc>
        <w:tc>
          <w:tcPr>
            <w:tcW w:w="3104" w:type="dxa"/>
            <w:shd w:val="clear" w:color="000000" w:fill="FFFFFF"/>
            <w:vAlign w:val="center"/>
            <w:hideMark/>
          </w:tcPr>
          <w:p w:rsidR="001D7771" w:rsidRPr="00F63092" w:rsidRDefault="001D7771"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700,00</w:t>
            </w:r>
          </w:p>
        </w:tc>
      </w:tr>
      <w:tr w:rsidR="001D7771" w:rsidRPr="00F63092" w:rsidTr="000D0CB5">
        <w:trPr>
          <w:trHeight w:val="315"/>
        </w:trPr>
        <w:tc>
          <w:tcPr>
            <w:tcW w:w="382" w:type="dxa"/>
            <w:shd w:val="clear" w:color="auto" w:fill="auto"/>
            <w:noWrap/>
            <w:vAlign w:val="bottom"/>
            <w:hideMark/>
          </w:tcPr>
          <w:p w:rsidR="001D7771" w:rsidRPr="00F63092" w:rsidRDefault="001D7771"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4</w:t>
            </w:r>
          </w:p>
        </w:tc>
        <w:tc>
          <w:tcPr>
            <w:tcW w:w="6007" w:type="dxa"/>
            <w:shd w:val="clear" w:color="auto" w:fill="auto"/>
            <w:noWrap/>
            <w:vAlign w:val="bottom"/>
            <w:hideMark/>
          </w:tcPr>
          <w:p w:rsidR="001D7771" w:rsidRPr="00F63092" w:rsidRDefault="001D7771" w:rsidP="00BD21AD">
            <w:pPr>
              <w:spacing w:after="0" w:line="276" w:lineRule="auto"/>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Говорители</w:t>
            </w:r>
          </w:p>
        </w:tc>
        <w:tc>
          <w:tcPr>
            <w:tcW w:w="3104" w:type="dxa"/>
            <w:shd w:val="clear" w:color="000000" w:fill="FFFFFF"/>
            <w:vAlign w:val="center"/>
            <w:hideMark/>
          </w:tcPr>
          <w:p w:rsidR="001D7771" w:rsidRPr="00F63092" w:rsidRDefault="001D7771"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1 000,00</w:t>
            </w:r>
          </w:p>
        </w:tc>
      </w:tr>
      <w:tr w:rsidR="001D7771" w:rsidRPr="00F63092" w:rsidTr="000D0CB5">
        <w:trPr>
          <w:trHeight w:val="315"/>
        </w:trPr>
        <w:tc>
          <w:tcPr>
            <w:tcW w:w="382" w:type="dxa"/>
            <w:shd w:val="clear" w:color="auto" w:fill="auto"/>
            <w:noWrap/>
            <w:vAlign w:val="bottom"/>
            <w:hideMark/>
          </w:tcPr>
          <w:p w:rsidR="001D7771" w:rsidRPr="00F63092" w:rsidRDefault="001D7771"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5</w:t>
            </w:r>
          </w:p>
        </w:tc>
        <w:tc>
          <w:tcPr>
            <w:tcW w:w="6007" w:type="dxa"/>
            <w:shd w:val="clear" w:color="auto" w:fill="auto"/>
            <w:noWrap/>
            <w:vAlign w:val="bottom"/>
            <w:hideMark/>
          </w:tcPr>
          <w:p w:rsidR="001D7771" w:rsidRPr="00F63092" w:rsidRDefault="001D7771" w:rsidP="00BD21AD">
            <w:pPr>
              <w:spacing w:after="0" w:line="276" w:lineRule="auto"/>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 xml:space="preserve">Фотоапарат </w:t>
            </w:r>
            <w:proofErr w:type="spellStart"/>
            <w:r w:rsidRPr="00F63092">
              <w:rPr>
                <w:rFonts w:ascii="Times New Roman" w:eastAsia="Times New Roman" w:hAnsi="Times New Roman" w:cs="Times New Roman"/>
                <w:noProof w:val="0"/>
                <w:color w:val="FF0000"/>
                <w:sz w:val="20"/>
                <w:szCs w:val="20"/>
                <w:lang w:eastAsia="bg-BG"/>
              </w:rPr>
              <w:t>Niko</w:t>
            </w:r>
            <w:bookmarkStart w:id="0" w:name="_GoBack"/>
            <w:bookmarkEnd w:id="0"/>
            <w:r w:rsidRPr="00F63092">
              <w:rPr>
                <w:rFonts w:ascii="Times New Roman" w:eastAsia="Times New Roman" w:hAnsi="Times New Roman" w:cs="Times New Roman"/>
                <w:noProof w:val="0"/>
                <w:color w:val="FF0000"/>
                <w:sz w:val="20"/>
                <w:szCs w:val="20"/>
                <w:lang w:eastAsia="bg-BG"/>
              </w:rPr>
              <w:t>n</w:t>
            </w:r>
            <w:proofErr w:type="spellEnd"/>
            <w:r w:rsidRPr="00F63092">
              <w:rPr>
                <w:rFonts w:ascii="Times New Roman" w:eastAsia="Times New Roman" w:hAnsi="Times New Roman" w:cs="Times New Roman"/>
                <w:noProof w:val="0"/>
                <w:color w:val="FF0000"/>
                <w:sz w:val="20"/>
                <w:szCs w:val="20"/>
                <w:lang w:eastAsia="bg-BG"/>
              </w:rPr>
              <w:t xml:space="preserve"> D-серия с  обектив </w:t>
            </w:r>
          </w:p>
        </w:tc>
        <w:tc>
          <w:tcPr>
            <w:tcW w:w="3104" w:type="dxa"/>
            <w:shd w:val="clear" w:color="000000" w:fill="FFFFFF"/>
            <w:vAlign w:val="center"/>
            <w:hideMark/>
          </w:tcPr>
          <w:p w:rsidR="001D7771" w:rsidRPr="00F63092" w:rsidRDefault="001D7771"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2 110,00</w:t>
            </w:r>
          </w:p>
        </w:tc>
      </w:tr>
      <w:tr w:rsidR="001D7771" w:rsidRPr="00F63092" w:rsidTr="000D0CB5">
        <w:trPr>
          <w:trHeight w:val="315"/>
        </w:trPr>
        <w:tc>
          <w:tcPr>
            <w:tcW w:w="382" w:type="dxa"/>
            <w:shd w:val="clear" w:color="auto" w:fill="auto"/>
            <w:noWrap/>
            <w:vAlign w:val="bottom"/>
            <w:hideMark/>
          </w:tcPr>
          <w:p w:rsidR="001D7771" w:rsidRPr="00F63092" w:rsidRDefault="001D7771"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6</w:t>
            </w:r>
          </w:p>
        </w:tc>
        <w:tc>
          <w:tcPr>
            <w:tcW w:w="6007" w:type="dxa"/>
            <w:shd w:val="clear" w:color="auto" w:fill="auto"/>
            <w:noWrap/>
            <w:vAlign w:val="bottom"/>
            <w:hideMark/>
          </w:tcPr>
          <w:p w:rsidR="001D7771" w:rsidRPr="00F63092" w:rsidRDefault="001D7771" w:rsidP="00BD21AD">
            <w:pPr>
              <w:spacing w:after="0" w:line="276" w:lineRule="auto"/>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Телевизор</w:t>
            </w:r>
          </w:p>
        </w:tc>
        <w:tc>
          <w:tcPr>
            <w:tcW w:w="3104" w:type="dxa"/>
            <w:shd w:val="clear" w:color="000000" w:fill="FFFFFF"/>
            <w:vAlign w:val="center"/>
            <w:hideMark/>
          </w:tcPr>
          <w:p w:rsidR="001D7771" w:rsidRPr="00F63092" w:rsidRDefault="001D7771"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1 350,00</w:t>
            </w:r>
          </w:p>
        </w:tc>
      </w:tr>
      <w:tr w:rsidR="001D7771" w:rsidRPr="00F63092" w:rsidTr="000D0CB5">
        <w:trPr>
          <w:trHeight w:val="315"/>
        </w:trPr>
        <w:tc>
          <w:tcPr>
            <w:tcW w:w="382" w:type="dxa"/>
            <w:shd w:val="clear" w:color="auto" w:fill="auto"/>
            <w:noWrap/>
            <w:vAlign w:val="bottom"/>
            <w:hideMark/>
          </w:tcPr>
          <w:p w:rsidR="001D7771" w:rsidRPr="00F63092" w:rsidRDefault="001D7771"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7</w:t>
            </w:r>
          </w:p>
        </w:tc>
        <w:tc>
          <w:tcPr>
            <w:tcW w:w="6007" w:type="dxa"/>
            <w:shd w:val="clear" w:color="auto" w:fill="auto"/>
            <w:noWrap/>
            <w:vAlign w:val="bottom"/>
            <w:hideMark/>
          </w:tcPr>
          <w:p w:rsidR="001D7771" w:rsidRPr="00F63092" w:rsidRDefault="001D7771" w:rsidP="00BD21AD">
            <w:pPr>
              <w:spacing w:after="0" w:line="276" w:lineRule="auto"/>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Интернет радио</w:t>
            </w:r>
          </w:p>
        </w:tc>
        <w:tc>
          <w:tcPr>
            <w:tcW w:w="3104" w:type="dxa"/>
            <w:shd w:val="clear" w:color="000000" w:fill="FFFFFF"/>
            <w:vAlign w:val="center"/>
            <w:hideMark/>
          </w:tcPr>
          <w:p w:rsidR="001D7771" w:rsidRPr="00F63092" w:rsidRDefault="001D7771"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1 350,00</w:t>
            </w:r>
          </w:p>
        </w:tc>
      </w:tr>
      <w:tr w:rsidR="001D7771" w:rsidRPr="00F63092" w:rsidTr="000D0CB5">
        <w:trPr>
          <w:trHeight w:val="315"/>
        </w:trPr>
        <w:tc>
          <w:tcPr>
            <w:tcW w:w="382" w:type="dxa"/>
            <w:shd w:val="clear" w:color="auto" w:fill="auto"/>
            <w:noWrap/>
            <w:vAlign w:val="bottom"/>
            <w:hideMark/>
          </w:tcPr>
          <w:p w:rsidR="001D7771" w:rsidRPr="00F63092" w:rsidRDefault="001D7771"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8</w:t>
            </w:r>
          </w:p>
        </w:tc>
        <w:tc>
          <w:tcPr>
            <w:tcW w:w="6007" w:type="dxa"/>
            <w:shd w:val="clear" w:color="auto" w:fill="auto"/>
            <w:noWrap/>
            <w:vAlign w:val="bottom"/>
            <w:hideMark/>
          </w:tcPr>
          <w:p w:rsidR="001D7771" w:rsidRPr="00F63092" w:rsidRDefault="001D7771" w:rsidP="00BD21AD">
            <w:pPr>
              <w:spacing w:after="0" w:line="276" w:lineRule="auto"/>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 xml:space="preserve">Непрекъсваемо </w:t>
            </w:r>
            <w:proofErr w:type="spellStart"/>
            <w:r w:rsidRPr="00F63092">
              <w:rPr>
                <w:rFonts w:ascii="Times New Roman" w:eastAsia="Times New Roman" w:hAnsi="Times New Roman" w:cs="Times New Roman"/>
                <w:noProof w:val="0"/>
                <w:color w:val="FF0000"/>
                <w:sz w:val="20"/>
                <w:szCs w:val="20"/>
                <w:lang w:eastAsia="bg-BG"/>
              </w:rPr>
              <w:t>токозахранващо</w:t>
            </w:r>
            <w:proofErr w:type="spellEnd"/>
            <w:r w:rsidRPr="00F63092">
              <w:rPr>
                <w:rFonts w:ascii="Times New Roman" w:eastAsia="Times New Roman" w:hAnsi="Times New Roman" w:cs="Times New Roman"/>
                <w:noProof w:val="0"/>
                <w:color w:val="FF0000"/>
                <w:sz w:val="20"/>
                <w:szCs w:val="20"/>
                <w:lang w:eastAsia="bg-BG"/>
              </w:rPr>
              <w:t xml:space="preserve"> устройство </w:t>
            </w:r>
          </w:p>
        </w:tc>
        <w:tc>
          <w:tcPr>
            <w:tcW w:w="3104" w:type="dxa"/>
            <w:shd w:val="clear" w:color="000000" w:fill="FFFFFF"/>
            <w:vAlign w:val="center"/>
            <w:hideMark/>
          </w:tcPr>
          <w:p w:rsidR="001D7771" w:rsidRPr="00F63092" w:rsidRDefault="001D7771"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6 050,00</w:t>
            </w:r>
          </w:p>
        </w:tc>
      </w:tr>
      <w:tr w:rsidR="001D7771" w:rsidRPr="00F63092" w:rsidTr="000D0CB5">
        <w:trPr>
          <w:trHeight w:val="315"/>
        </w:trPr>
        <w:tc>
          <w:tcPr>
            <w:tcW w:w="382" w:type="dxa"/>
            <w:shd w:val="clear" w:color="auto" w:fill="auto"/>
            <w:noWrap/>
            <w:vAlign w:val="bottom"/>
            <w:hideMark/>
          </w:tcPr>
          <w:p w:rsidR="001D7771" w:rsidRPr="00F63092" w:rsidRDefault="001D7771" w:rsidP="00BD21AD">
            <w:pPr>
              <w:spacing w:after="0" w:line="276" w:lineRule="auto"/>
              <w:jc w:val="center"/>
              <w:rPr>
                <w:rFonts w:ascii="Times New Roman" w:eastAsia="Times New Roman" w:hAnsi="Times New Roman" w:cs="Times New Roman"/>
                <w:noProof w:val="0"/>
                <w:color w:val="00B050"/>
                <w:sz w:val="20"/>
                <w:szCs w:val="20"/>
                <w:lang w:eastAsia="bg-BG"/>
              </w:rPr>
            </w:pPr>
            <w:r w:rsidRPr="00F63092">
              <w:rPr>
                <w:rFonts w:ascii="Times New Roman" w:eastAsia="Times New Roman" w:hAnsi="Times New Roman" w:cs="Times New Roman"/>
                <w:noProof w:val="0"/>
                <w:color w:val="00B050"/>
                <w:sz w:val="20"/>
                <w:szCs w:val="20"/>
                <w:lang w:eastAsia="bg-BG"/>
              </w:rPr>
              <w:t>9</w:t>
            </w:r>
          </w:p>
        </w:tc>
        <w:tc>
          <w:tcPr>
            <w:tcW w:w="6007" w:type="dxa"/>
            <w:shd w:val="clear" w:color="auto" w:fill="auto"/>
            <w:noWrap/>
            <w:vAlign w:val="bottom"/>
            <w:hideMark/>
          </w:tcPr>
          <w:p w:rsidR="001D7771" w:rsidRPr="00F63092" w:rsidRDefault="001D7771" w:rsidP="00BD21AD">
            <w:pPr>
              <w:spacing w:after="0" w:line="276" w:lineRule="auto"/>
              <w:rPr>
                <w:rFonts w:ascii="Times New Roman" w:eastAsia="Times New Roman" w:hAnsi="Times New Roman" w:cs="Times New Roman"/>
                <w:noProof w:val="0"/>
                <w:color w:val="00B050"/>
                <w:sz w:val="20"/>
                <w:szCs w:val="20"/>
                <w:lang w:eastAsia="bg-BG"/>
              </w:rPr>
            </w:pPr>
            <w:r w:rsidRPr="00F63092">
              <w:rPr>
                <w:rFonts w:ascii="Times New Roman" w:eastAsia="Times New Roman" w:hAnsi="Times New Roman" w:cs="Times New Roman"/>
                <w:noProof w:val="0"/>
                <w:color w:val="00B050"/>
                <w:sz w:val="20"/>
                <w:szCs w:val="20"/>
                <w:lang w:eastAsia="bg-BG"/>
              </w:rPr>
              <w:t xml:space="preserve">СМР на сграда </w:t>
            </w:r>
          </w:p>
        </w:tc>
        <w:tc>
          <w:tcPr>
            <w:tcW w:w="3104" w:type="dxa"/>
            <w:shd w:val="clear" w:color="000000" w:fill="FFFFFF"/>
            <w:vAlign w:val="center"/>
            <w:hideMark/>
          </w:tcPr>
          <w:p w:rsidR="001D7771" w:rsidRPr="00F63092" w:rsidRDefault="001D7771" w:rsidP="00BD21AD">
            <w:pPr>
              <w:spacing w:after="0" w:line="276" w:lineRule="auto"/>
              <w:jc w:val="center"/>
              <w:rPr>
                <w:rFonts w:ascii="Times New Roman" w:eastAsia="Times New Roman" w:hAnsi="Times New Roman" w:cs="Times New Roman"/>
                <w:noProof w:val="0"/>
                <w:color w:val="00B050"/>
                <w:sz w:val="20"/>
                <w:szCs w:val="20"/>
                <w:lang w:eastAsia="bg-BG"/>
              </w:rPr>
            </w:pPr>
            <w:r w:rsidRPr="00F63092">
              <w:rPr>
                <w:rFonts w:ascii="Times New Roman" w:eastAsia="Times New Roman" w:hAnsi="Times New Roman" w:cs="Times New Roman"/>
                <w:noProof w:val="0"/>
                <w:color w:val="00B050"/>
                <w:sz w:val="20"/>
                <w:szCs w:val="20"/>
                <w:lang w:eastAsia="bg-BG"/>
              </w:rPr>
              <w:t>35 000,00</w:t>
            </w:r>
          </w:p>
        </w:tc>
      </w:tr>
      <w:tr w:rsidR="001D7771" w:rsidRPr="00F63092" w:rsidTr="000D0CB5">
        <w:trPr>
          <w:trHeight w:val="315"/>
        </w:trPr>
        <w:tc>
          <w:tcPr>
            <w:tcW w:w="382" w:type="dxa"/>
            <w:shd w:val="clear" w:color="auto" w:fill="auto"/>
            <w:noWrap/>
            <w:vAlign w:val="bottom"/>
            <w:hideMark/>
          </w:tcPr>
          <w:p w:rsidR="001D7771" w:rsidRPr="00F63092" w:rsidRDefault="001D7771" w:rsidP="00BD21AD">
            <w:pPr>
              <w:spacing w:after="0" w:line="276" w:lineRule="auto"/>
              <w:jc w:val="center"/>
              <w:rPr>
                <w:rFonts w:ascii="Times New Roman" w:eastAsia="Times New Roman" w:hAnsi="Times New Roman" w:cs="Times New Roman"/>
                <w:noProof w:val="0"/>
                <w:color w:val="00B050"/>
                <w:sz w:val="20"/>
                <w:szCs w:val="20"/>
                <w:lang w:eastAsia="bg-BG"/>
              </w:rPr>
            </w:pPr>
          </w:p>
        </w:tc>
        <w:tc>
          <w:tcPr>
            <w:tcW w:w="6007" w:type="dxa"/>
            <w:shd w:val="clear" w:color="auto" w:fill="auto"/>
            <w:noWrap/>
            <w:vAlign w:val="bottom"/>
            <w:hideMark/>
          </w:tcPr>
          <w:p w:rsidR="001D7771" w:rsidRPr="00F63092" w:rsidRDefault="001D7771" w:rsidP="00BD21AD">
            <w:pPr>
              <w:spacing w:after="0" w:line="276" w:lineRule="auto"/>
              <w:rPr>
                <w:rFonts w:ascii="Times New Roman" w:eastAsia="Times New Roman" w:hAnsi="Times New Roman" w:cs="Times New Roman"/>
                <w:noProof w:val="0"/>
                <w:sz w:val="20"/>
                <w:szCs w:val="20"/>
                <w:lang w:eastAsia="bg-BG"/>
              </w:rPr>
            </w:pPr>
          </w:p>
        </w:tc>
        <w:tc>
          <w:tcPr>
            <w:tcW w:w="3104" w:type="dxa"/>
            <w:shd w:val="clear" w:color="auto" w:fill="auto"/>
            <w:noWrap/>
            <w:vAlign w:val="bottom"/>
            <w:hideMark/>
          </w:tcPr>
          <w:p w:rsidR="001D7771" w:rsidRPr="00F63092" w:rsidRDefault="001D7771" w:rsidP="00BD21AD">
            <w:pPr>
              <w:spacing w:after="0" w:line="276" w:lineRule="auto"/>
              <w:rPr>
                <w:rFonts w:ascii="Times New Roman" w:eastAsia="Times New Roman" w:hAnsi="Times New Roman" w:cs="Times New Roman"/>
                <w:noProof w:val="0"/>
                <w:sz w:val="20"/>
                <w:szCs w:val="20"/>
                <w:lang w:eastAsia="bg-BG"/>
              </w:rPr>
            </w:pPr>
          </w:p>
        </w:tc>
      </w:tr>
      <w:tr w:rsidR="001D7771" w:rsidRPr="00F63092" w:rsidTr="000D0CB5">
        <w:trPr>
          <w:trHeight w:val="315"/>
        </w:trPr>
        <w:tc>
          <w:tcPr>
            <w:tcW w:w="382" w:type="dxa"/>
            <w:shd w:val="clear" w:color="auto" w:fill="auto"/>
            <w:noWrap/>
            <w:vAlign w:val="bottom"/>
            <w:hideMark/>
          </w:tcPr>
          <w:p w:rsidR="001D7771" w:rsidRPr="00F63092" w:rsidRDefault="001D7771" w:rsidP="00BD21AD">
            <w:pPr>
              <w:spacing w:after="0" w:line="276" w:lineRule="auto"/>
              <w:jc w:val="center"/>
              <w:rPr>
                <w:rFonts w:ascii="Times New Roman" w:eastAsia="Times New Roman" w:hAnsi="Times New Roman" w:cs="Times New Roman"/>
                <w:b/>
                <w:bCs/>
                <w:noProof w:val="0"/>
                <w:color w:val="FF0000"/>
                <w:sz w:val="20"/>
                <w:szCs w:val="20"/>
                <w:lang w:eastAsia="bg-BG"/>
              </w:rPr>
            </w:pPr>
            <w:r w:rsidRPr="00F63092">
              <w:rPr>
                <w:rFonts w:ascii="Times New Roman" w:eastAsia="Times New Roman" w:hAnsi="Times New Roman" w:cs="Times New Roman"/>
                <w:b/>
                <w:bCs/>
                <w:noProof w:val="0"/>
                <w:color w:val="FF0000"/>
                <w:sz w:val="20"/>
                <w:szCs w:val="20"/>
                <w:lang w:eastAsia="bg-BG"/>
              </w:rPr>
              <w:t>1</w:t>
            </w:r>
          </w:p>
        </w:tc>
        <w:tc>
          <w:tcPr>
            <w:tcW w:w="6007" w:type="dxa"/>
            <w:shd w:val="clear" w:color="auto" w:fill="auto"/>
            <w:noWrap/>
            <w:vAlign w:val="bottom"/>
            <w:hideMark/>
          </w:tcPr>
          <w:p w:rsidR="001D7771" w:rsidRPr="00F63092" w:rsidRDefault="001D7771" w:rsidP="00BD21AD">
            <w:pPr>
              <w:spacing w:after="0" w:line="276" w:lineRule="auto"/>
              <w:rPr>
                <w:rFonts w:ascii="Times New Roman" w:eastAsia="Times New Roman" w:hAnsi="Times New Roman" w:cs="Times New Roman"/>
                <w:b/>
                <w:bCs/>
                <w:noProof w:val="0"/>
                <w:color w:val="FF0000"/>
                <w:sz w:val="20"/>
                <w:szCs w:val="20"/>
                <w:lang w:eastAsia="bg-BG"/>
              </w:rPr>
            </w:pPr>
            <w:r w:rsidRPr="00F63092">
              <w:rPr>
                <w:rFonts w:ascii="Times New Roman" w:eastAsia="Times New Roman" w:hAnsi="Times New Roman" w:cs="Times New Roman"/>
                <w:b/>
                <w:bCs/>
                <w:noProof w:val="0"/>
                <w:color w:val="FF0000"/>
                <w:sz w:val="20"/>
                <w:szCs w:val="20"/>
                <w:lang w:eastAsia="bg-BG"/>
              </w:rPr>
              <w:t>Одобрени разходи за доставка</w:t>
            </w:r>
            <w:r w:rsidR="007D179F" w:rsidRPr="00F63092">
              <w:rPr>
                <w:rFonts w:ascii="Times New Roman" w:eastAsia="Times New Roman" w:hAnsi="Times New Roman" w:cs="Times New Roman"/>
                <w:b/>
                <w:bCs/>
                <w:noProof w:val="0"/>
                <w:color w:val="FF0000"/>
                <w:sz w:val="20"/>
                <w:szCs w:val="20"/>
                <w:lang w:eastAsia="bg-BG"/>
              </w:rPr>
              <w:t>:</w:t>
            </w:r>
          </w:p>
        </w:tc>
        <w:tc>
          <w:tcPr>
            <w:tcW w:w="3104" w:type="dxa"/>
            <w:shd w:val="clear" w:color="auto" w:fill="auto"/>
            <w:noWrap/>
            <w:vAlign w:val="bottom"/>
            <w:hideMark/>
          </w:tcPr>
          <w:p w:rsidR="001D7771" w:rsidRPr="00F63092" w:rsidRDefault="001D7771" w:rsidP="00BD21AD">
            <w:pPr>
              <w:spacing w:after="0" w:line="276" w:lineRule="auto"/>
              <w:jc w:val="center"/>
              <w:rPr>
                <w:rFonts w:ascii="Times New Roman" w:eastAsia="Times New Roman" w:hAnsi="Times New Roman" w:cs="Times New Roman"/>
                <w:b/>
                <w:bCs/>
                <w:noProof w:val="0"/>
                <w:color w:val="FF0000"/>
                <w:sz w:val="20"/>
                <w:szCs w:val="20"/>
                <w:lang w:eastAsia="bg-BG"/>
              </w:rPr>
            </w:pPr>
            <w:r w:rsidRPr="00F63092">
              <w:rPr>
                <w:rFonts w:ascii="Times New Roman" w:eastAsia="Times New Roman" w:hAnsi="Times New Roman" w:cs="Times New Roman"/>
                <w:b/>
                <w:bCs/>
                <w:noProof w:val="0"/>
                <w:color w:val="FF0000"/>
                <w:sz w:val="20"/>
                <w:szCs w:val="20"/>
                <w:lang w:eastAsia="bg-BG"/>
              </w:rPr>
              <w:t>32 960,00</w:t>
            </w:r>
          </w:p>
        </w:tc>
      </w:tr>
      <w:tr w:rsidR="001D7771" w:rsidRPr="00F63092" w:rsidTr="000D0CB5">
        <w:trPr>
          <w:trHeight w:val="315"/>
        </w:trPr>
        <w:tc>
          <w:tcPr>
            <w:tcW w:w="382" w:type="dxa"/>
            <w:shd w:val="clear" w:color="auto" w:fill="auto"/>
            <w:noWrap/>
            <w:vAlign w:val="bottom"/>
            <w:hideMark/>
          </w:tcPr>
          <w:p w:rsidR="001D7771" w:rsidRPr="00F63092" w:rsidRDefault="001D7771" w:rsidP="00BD21AD">
            <w:pPr>
              <w:spacing w:after="0" w:line="276" w:lineRule="auto"/>
              <w:jc w:val="center"/>
              <w:rPr>
                <w:rFonts w:ascii="Times New Roman" w:eastAsia="Times New Roman" w:hAnsi="Times New Roman" w:cs="Times New Roman"/>
                <w:b/>
                <w:bCs/>
                <w:noProof w:val="0"/>
                <w:color w:val="00B050"/>
                <w:sz w:val="20"/>
                <w:szCs w:val="20"/>
                <w:lang w:eastAsia="bg-BG"/>
              </w:rPr>
            </w:pPr>
            <w:r w:rsidRPr="00F63092">
              <w:rPr>
                <w:rFonts w:ascii="Times New Roman" w:eastAsia="Times New Roman" w:hAnsi="Times New Roman" w:cs="Times New Roman"/>
                <w:b/>
                <w:bCs/>
                <w:noProof w:val="0"/>
                <w:color w:val="00B050"/>
                <w:sz w:val="20"/>
                <w:szCs w:val="20"/>
                <w:lang w:eastAsia="bg-BG"/>
              </w:rPr>
              <w:t>2</w:t>
            </w:r>
          </w:p>
        </w:tc>
        <w:tc>
          <w:tcPr>
            <w:tcW w:w="6007" w:type="dxa"/>
            <w:shd w:val="clear" w:color="auto" w:fill="auto"/>
            <w:noWrap/>
            <w:vAlign w:val="bottom"/>
            <w:hideMark/>
          </w:tcPr>
          <w:p w:rsidR="001D7771" w:rsidRPr="00F63092" w:rsidRDefault="001D7771" w:rsidP="00BD21AD">
            <w:pPr>
              <w:spacing w:after="0" w:line="276" w:lineRule="auto"/>
              <w:rPr>
                <w:rFonts w:ascii="Times New Roman" w:eastAsia="Times New Roman" w:hAnsi="Times New Roman" w:cs="Times New Roman"/>
                <w:b/>
                <w:bCs/>
                <w:noProof w:val="0"/>
                <w:color w:val="00B050"/>
                <w:sz w:val="20"/>
                <w:szCs w:val="20"/>
                <w:lang w:eastAsia="bg-BG"/>
              </w:rPr>
            </w:pPr>
            <w:r w:rsidRPr="00F63092">
              <w:rPr>
                <w:rFonts w:ascii="Times New Roman" w:eastAsia="Times New Roman" w:hAnsi="Times New Roman" w:cs="Times New Roman"/>
                <w:b/>
                <w:bCs/>
                <w:noProof w:val="0"/>
                <w:color w:val="00B050"/>
                <w:sz w:val="20"/>
                <w:szCs w:val="20"/>
                <w:lang w:eastAsia="bg-BG"/>
              </w:rPr>
              <w:t>Одобрени разходи за СМР</w:t>
            </w:r>
            <w:r w:rsidR="007D179F" w:rsidRPr="00F63092">
              <w:rPr>
                <w:rFonts w:ascii="Times New Roman" w:eastAsia="Times New Roman" w:hAnsi="Times New Roman" w:cs="Times New Roman"/>
                <w:b/>
                <w:bCs/>
                <w:noProof w:val="0"/>
                <w:color w:val="00B050"/>
                <w:sz w:val="20"/>
                <w:szCs w:val="20"/>
                <w:lang w:eastAsia="bg-BG"/>
              </w:rPr>
              <w:t>:</w:t>
            </w:r>
          </w:p>
        </w:tc>
        <w:tc>
          <w:tcPr>
            <w:tcW w:w="3104" w:type="dxa"/>
            <w:shd w:val="clear" w:color="auto" w:fill="auto"/>
            <w:noWrap/>
            <w:vAlign w:val="bottom"/>
            <w:hideMark/>
          </w:tcPr>
          <w:p w:rsidR="001D7771" w:rsidRPr="00F63092" w:rsidRDefault="001D7771" w:rsidP="00BD21AD">
            <w:pPr>
              <w:spacing w:after="0" w:line="276" w:lineRule="auto"/>
              <w:jc w:val="center"/>
              <w:rPr>
                <w:rFonts w:ascii="Times New Roman" w:eastAsia="Times New Roman" w:hAnsi="Times New Roman" w:cs="Times New Roman"/>
                <w:b/>
                <w:bCs/>
                <w:noProof w:val="0"/>
                <w:color w:val="00B050"/>
                <w:sz w:val="20"/>
                <w:szCs w:val="20"/>
                <w:lang w:eastAsia="bg-BG"/>
              </w:rPr>
            </w:pPr>
            <w:r w:rsidRPr="00F63092">
              <w:rPr>
                <w:rFonts w:ascii="Times New Roman" w:eastAsia="Times New Roman" w:hAnsi="Times New Roman" w:cs="Times New Roman"/>
                <w:b/>
                <w:bCs/>
                <w:noProof w:val="0"/>
                <w:color w:val="00B050"/>
                <w:sz w:val="20"/>
                <w:szCs w:val="20"/>
                <w:lang w:eastAsia="bg-BG"/>
              </w:rPr>
              <w:t>35 000,00</w:t>
            </w:r>
          </w:p>
        </w:tc>
      </w:tr>
      <w:tr w:rsidR="00C536A8" w:rsidRPr="00F63092" w:rsidTr="000D0CB5">
        <w:trPr>
          <w:trHeight w:val="315"/>
        </w:trPr>
        <w:tc>
          <w:tcPr>
            <w:tcW w:w="382" w:type="dxa"/>
            <w:shd w:val="clear" w:color="auto" w:fill="auto"/>
            <w:noWrap/>
            <w:vAlign w:val="bottom"/>
          </w:tcPr>
          <w:p w:rsidR="00C536A8" w:rsidRPr="00F63092" w:rsidRDefault="00C536A8" w:rsidP="00BD21AD">
            <w:pPr>
              <w:spacing w:after="0" w:line="276" w:lineRule="auto"/>
              <w:jc w:val="center"/>
              <w:rPr>
                <w:rFonts w:ascii="Times New Roman" w:eastAsia="Times New Roman" w:hAnsi="Times New Roman" w:cs="Times New Roman"/>
                <w:b/>
                <w:bCs/>
                <w:noProof w:val="0"/>
                <w:color w:val="FF0000"/>
                <w:sz w:val="20"/>
                <w:szCs w:val="20"/>
                <w:lang w:eastAsia="bg-BG"/>
              </w:rPr>
            </w:pPr>
            <w:r w:rsidRPr="00F63092">
              <w:rPr>
                <w:rFonts w:ascii="Times New Roman" w:eastAsia="Times New Roman" w:hAnsi="Times New Roman" w:cs="Times New Roman"/>
                <w:b/>
                <w:bCs/>
                <w:noProof w:val="0"/>
                <w:color w:val="FF0000"/>
                <w:sz w:val="20"/>
                <w:szCs w:val="20"/>
                <w:lang w:eastAsia="bg-BG"/>
              </w:rPr>
              <w:t>*</w:t>
            </w:r>
          </w:p>
        </w:tc>
        <w:tc>
          <w:tcPr>
            <w:tcW w:w="6007" w:type="dxa"/>
            <w:shd w:val="clear" w:color="auto" w:fill="auto"/>
            <w:noWrap/>
            <w:vAlign w:val="bottom"/>
          </w:tcPr>
          <w:p w:rsidR="00C536A8" w:rsidRPr="00F63092" w:rsidRDefault="00C536A8" w:rsidP="007D179F">
            <w:pPr>
              <w:spacing w:after="0" w:line="276" w:lineRule="auto"/>
              <w:rPr>
                <w:rFonts w:ascii="Times New Roman" w:eastAsia="Times New Roman" w:hAnsi="Times New Roman" w:cs="Times New Roman"/>
                <w:b/>
                <w:bCs/>
                <w:noProof w:val="0"/>
                <w:color w:val="FF0000"/>
                <w:sz w:val="20"/>
                <w:szCs w:val="20"/>
                <w:lang w:eastAsia="bg-BG"/>
              </w:rPr>
            </w:pPr>
            <w:r w:rsidRPr="00F63092">
              <w:rPr>
                <w:rFonts w:ascii="Times New Roman" w:eastAsia="Times New Roman" w:hAnsi="Times New Roman" w:cs="Times New Roman"/>
                <w:b/>
                <w:bCs/>
                <w:noProof w:val="0"/>
                <w:color w:val="FF0000"/>
                <w:sz w:val="20"/>
                <w:szCs w:val="20"/>
                <w:lang w:eastAsia="bg-BG"/>
              </w:rPr>
              <w:t>Одобрена с</w:t>
            </w:r>
            <w:r w:rsidR="007D179F" w:rsidRPr="00F63092">
              <w:rPr>
                <w:rFonts w:ascii="Times New Roman" w:eastAsia="Times New Roman" w:hAnsi="Times New Roman" w:cs="Times New Roman"/>
                <w:b/>
                <w:bCs/>
                <w:noProof w:val="0"/>
                <w:color w:val="FF0000"/>
                <w:sz w:val="20"/>
                <w:szCs w:val="20"/>
                <w:lang w:eastAsia="bg-BG"/>
              </w:rPr>
              <w:t>убсидия:</w:t>
            </w:r>
          </w:p>
        </w:tc>
        <w:tc>
          <w:tcPr>
            <w:tcW w:w="3104" w:type="dxa"/>
            <w:shd w:val="clear" w:color="auto" w:fill="auto"/>
            <w:noWrap/>
            <w:vAlign w:val="bottom"/>
          </w:tcPr>
          <w:p w:rsidR="00C536A8" w:rsidRPr="00F63092" w:rsidRDefault="00C536A8" w:rsidP="007067C7">
            <w:pPr>
              <w:spacing w:after="0" w:line="276" w:lineRule="auto"/>
              <w:jc w:val="center"/>
              <w:rPr>
                <w:rFonts w:ascii="Times New Roman" w:eastAsia="Times New Roman" w:hAnsi="Times New Roman" w:cs="Times New Roman"/>
                <w:b/>
                <w:bCs/>
                <w:noProof w:val="0"/>
                <w:color w:val="FF0000"/>
                <w:sz w:val="20"/>
                <w:szCs w:val="20"/>
                <w:lang w:eastAsia="bg-BG"/>
              </w:rPr>
            </w:pPr>
            <w:r w:rsidRPr="00F63092">
              <w:rPr>
                <w:rFonts w:ascii="Times New Roman" w:eastAsia="Times New Roman" w:hAnsi="Times New Roman" w:cs="Times New Roman"/>
                <w:b/>
                <w:bCs/>
                <w:noProof w:val="0"/>
                <w:color w:val="FF0000"/>
                <w:sz w:val="20"/>
                <w:szCs w:val="20"/>
                <w:lang w:eastAsia="bg-BG"/>
              </w:rPr>
              <w:t>над 50</w:t>
            </w:r>
            <w:r w:rsidR="007067C7" w:rsidRPr="00F63092">
              <w:rPr>
                <w:rFonts w:ascii="Times New Roman" w:eastAsia="Times New Roman" w:hAnsi="Times New Roman" w:cs="Times New Roman"/>
                <w:b/>
                <w:bCs/>
                <w:noProof w:val="0"/>
                <w:color w:val="FF0000"/>
                <w:sz w:val="20"/>
                <w:szCs w:val="20"/>
                <w:lang w:eastAsia="bg-BG"/>
              </w:rPr>
              <w:t>%</w:t>
            </w:r>
          </w:p>
        </w:tc>
      </w:tr>
    </w:tbl>
    <w:p w:rsidR="001F4126" w:rsidRPr="00BD21AD" w:rsidRDefault="001F4126" w:rsidP="00BD21AD">
      <w:pPr>
        <w:tabs>
          <w:tab w:val="left" w:pos="851"/>
        </w:tabs>
        <w:spacing w:line="276" w:lineRule="auto"/>
        <w:jc w:val="both"/>
        <w:rPr>
          <w:rFonts w:ascii="Times New Roman" w:hAnsi="Times New Roman" w:cs="Times New Roman"/>
          <w:sz w:val="24"/>
          <w:szCs w:val="24"/>
          <w:lang w:val="en-US"/>
        </w:rPr>
      </w:pPr>
    </w:p>
    <w:p w:rsidR="008059C8" w:rsidRPr="00BD21AD" w:rsidRDefault="004322E1" w:rsidP="00BD21AD">
      <w:pPr>
        <w:tabs>
          <w:tab w:val="left" w:pos="851"/>
        </w:tabs>
        <w:spacing w:line="276" w:lineRule="auto"/>
        <w:jc w:val="both"/>
        <w:rPr>
          <w:rFonts w:ascii="Times New Roman" w:hAnsi="Times New Roman" w:cs="Times New Roman"/>
          <w:b/>
          <w:sz w:val="24"/>
          <w:szCs w:val="24"/>
          <w:u w:val="single"/>
        </w:rPr>
      </w:pPr>
      <w:r w:rsidRPr="00BD21AD">
        <w:rPr>
          <w:rFonts w:ascii="Times New Roman" w:hAnsi="Times New Roman" w:cs="Times New Roman"/>
          <w:b/>
          <w:sz w:val="24"/>
          <w:szCs w:val="24"/>
          <w:u w:val="single"/>
        </w:rPr>
        <w:t xml:space="preserve">Заключение: </w:t>
      </w:r>
    </w:p>
    <w:p w:rsidR="00D83159" w:rsidRPr="00BD21AD" w:rsidRDefault="008059C8" w:rsidP="00BD21AD">
      <w:pPr>
        <w:tabs>
          <w:tab w:val="left" w:pos="851"/>
        </w:tabs>
        <w:spacing w:line="276" w:lineRule="auto"/>
        <w:jc w:val="both"/>
        <w:rPr>
          <w:rFonts w:ascii="Times New Roman" w:hAnsi="Times New Roman" w:cs="Times New Roman"/>
          <w:sz w:val="24"/>
          <w:szCs w:val="24"/>
        </w:rPr>
      </w:pPr>
      <w:r w:rsidRPr="00BD21AD">
        <w:rPr>
          <w:rFonts w:ascii="Times New Roman" w:hAnsi="Times New Roman" w:cs="Times New Roman"/>
          <w:sz w:val="24"/>
          <w:szCs w:val="24"/>
        </w:rPr>
        <w:t xml:space="preserve">1. </w:t>
      </w:r>
      <w:r w:rsidR="00BF2AA9" w:rsidRPr="00BD21AD">
        <w:rPr>
          <w:rFonts w:ascii="Times New Roman" w:hAnsi="Times New Roman" w:cs="Times New Roman"/>
          <w:sz w:val="24"/>
          <w:szCs w:val="24"/>
        </w:rPr>
        <w:t>З</w:t>
      </w:r>
      <w:r w:rsidR="004322E1" w:rsidRPr="00BD21AD">
        <w:rPr>
          <w:rFonts w:ascii="Times New Roman" w:hAnsi="Times New Roman" w:cs="Times New Roman"/>
          <w:sz w:val="24"/>
          <w:szCs w:val="24"/>
        </w:rPr>
        <w:t xml:space="preserve">а разходите, оцветени в </w:t>
      </w:r>
      <w:r w:rsidR="004322E1" w:rsidRPr="00EA79BE">
        <w:rPr>
          <w:rFonts w:ascii="Times New Roman" w:hAnsi="Times New Roman" w:cs="Times New Roman"/>
          <w:sz w:val="24"/>
          <w:szCs w:val="24"/>
        </w:rPr>
        <w:t xml:space="preserve">червено, </w:t>
      </w:r>
      <w:r w:rsidR="004322E1" w:rsidRPr="00BD21AD">
        <w:rPr>
          <w:rFonts w:ascii="Times New Roman" w:hAnsi="Times New Roman" w:cs="Times New Roman"/>
          <w:sz w:val="24"/>
          <w:szCs w:val="24"/>
        </w:rPr>
        <w:t xml:space="preserve">кандидатът следва да проведе процедура по реда на ПМС </w:t>
      </w:r>
      <w:r w:rsidRPr="00BD21AD">
        <w:rPr>
          <w:rFonts w:ascii="Times New Roman" w:hAnsi="Times New Roman" w:cs="Times New Roman"/>
          <w:sz w:val="24"/>
          <w:szCs w:val="24"/>
        </w:rPr>
        <w:t xml:space="preserve">160 </w:t>
      </w:r>
      <w:r w:rsidR="004322E1" w:rsidRPr="00BD21AD">
        <w:rPr>
          <w:rFonts w:ascii="Times New Roman" w:hAnsi="Times New Roman" w:cs="Times New Roman"/>
          <w:sz w:val="24"/>
          <w:szCs w:val="24"/>
        </w:rPr>
        <w:t xml:space="preserve">и за тях не се обследват предварителни договори, </w:t>
      </w:r>
      <w:r w:rsidR="000D0CB5" w:rsidRPr="00BD21AD">
        <w:rPr>
          <w:rFonts w:ascii="Times New Roman" w:hAnsi="Times New Roman" w:cs="Times New Roman"/>
          <w:sz w:val="24"/>
          <w:szCs w:val="24"/>
        </w:rPr>
        <w:t xml:space="preserve">дари и такива да </w:t>
      </w:r>
      <w:r w:rsidR="004322E1" w:rsidRPr="00BD21AD">
        <w:rPr>
          <w:rFonts w:ascii="Times New Roman" w:hAnsi="Times New Roman" w:cs="Times New Roman"/>
          <w:sz w:val="24"/>
          <w:szCs w:val="24"/>
        </w:rPr>
        <w:t>са</w:t>
      </w:r>
      <w:r w:rsidR="000D0CB5" w:rsidRPr="00BD21AD">
        <w:rPr>
          <w:rFonts w:ascii="Times New Roman" w:hAnsi="Times New Roman" w:cs="Times New Roman"/>
          <w:sz w:val="24"/>
          <w:szCs w:val="24"/>
        </w:rPr>
        <w:t xml:space="preserve"> били предствени</w:t>
      </w:r>
      <w:r w:rsidR="004C164A">
        <w:rPr>
          <w:rFonts w:ascii="Times New Roman" w:hAnsi="Times New Roman" w:cs="Times New Roman"/>
          <w:sz w:val="24"/>
          <w:szCs w:val="24"/>
        </w:rPr>
        <w:t xml:space="preserve"> на етап кандидатстване</w:t>
      </w:r>
      <w:r w:rsidR="000D0CB5" w:rsidRPr="00BD21AD">
        <w:rPr>
          <w:rFonts w:ascii="Times New Roman" w:hAnsi="Times New Roman" w:cs="Times New Roman"/>
          <w:sz w:val="24"/>
          <w:szCs w:val="24"/>
        </w:rPr>
        <w:t>.</w:t>
      </w:r>
    </w:p>
    <w:p w:rsidR="000D180D" w:rsidRPr="00EA79BE" w:rsidRDefault="008059C8" w:rsidP="00BD21AD">
      <w:pPr>
        <w:tabs>
          <w:tab w:val="left" w:pos="851"/>
        </w:tabs>
        <w:spacing w:line="276" w:lineRule="auto"/>
        <w:jc w:val="both"/>
        <w:rPr>
          <w:rFonts w:ascii="Times New Roman" w:hAnsi="Times New Roman" w:cs="Times New Roman"/>
          <w:sz w:val="24"/>
          <w:szCs w:val="24"/>
        </w:rPr>
      </w:pPr>
      <w:r w:rsidRPr="00BD21AD">
        <w:rPr>
          <w:rFonts w:ascii="Times New Roman" w:hAnsi="Times New Roman" w:cs="Times New Roman"/>
          <w:sz w:val="24"/>
          <w:szCs w:val="24"/>
        </w:rPr>
        <w:t>2.</w:t>
      </w:r>
      <w:r w:rsidR="0060597E" w:rsidRPr="00BD21AD">
        <w:rPr>
          <w:rFonts w:ascii="Times New Roman" w:hAnsi="Times New Roman" w:cs="Times New Roman"/>
          <w:sz w:val="24"/>
          <w:szCs w:val="24"/>
        </w:rPr>
        <w:t xml:space="preserve"> Ако</w:t>
      </w:r>
      <w:r w:rsidRPr="00BD21AD">
        <w:rPr>
          <w:rFonts w:ascii="Times New Roman" w:hAnsi="Times New Roman" w:cs="Times New Roman"/>
          <w:sz w:val="24"/>
          <w:szCs w:val="24"/>
        </w:rPr>
        <w:t xml:space="preserve"> </w:t>
      </w:r>
      <w:r w:rsidR="0060597E" w:rsidRPr="00BD21AD">
        <w:rPr>
          <w:rFonts w:ascii="Times New Roman" w:hAnsi="Times New Roman" w:cs="Times New Roman"/>
          <w:sz w:val="24"/>
          <w:szCs w:val="24"/>
        </w:rPr>
        <w:t>за</w:t>
      </w:r>
      <w:r w:rsidR="003525CE" w:rsidRPr="00BD21AD">
        <w:rPr>
          <w:rFonts w:ascii="Times New Roman" w:hAnsi="Times New Roman" w:cs="Times New Roman"/>
          <w:sz w:val="24"/>
          <w:szCs w:val="24"/>
        </w:rPr>
        <w:t xml:space="preserve"> разходите оцветени </w:t>
      </w:r>
      <w:r w:rsidR="003525CE" w:rsidRPr="00EA79BE">
        <w:rPr>
          <w:rFonts w:ascii="Times New Roman" w:hAnsi="Times New Roman" w:cs="Times New Roman"/>
          <w:sz w:val="24"/>
          <w:szCs w:val="24"/>
        </w:rPr>
        <w:t>в зелено, към д</w:t>
      </w:r>
      <w:r w:rsidR="00C34926" w:rsidRPr="00EA79BE">
        <w:rPr>
          <w:rFonts w:ascii="Times New Roman" w:hAnsi="Times New Roman" w:cs="Times New Roman"/>
          <w:sz w:val="24"/>
          <w:szCs w:val="24"/>
        </w:rPr>
        <w:t xml:space="preserve">атата на подаване на проектното предложение, съгласно условията за кандидатстване се изисква представяне на предварителен договор за </w:t>
      </w:r>
      <w:r w:rsidR="00C34926" w:rsidRPr="00EA79BE">
        <w:rPr>
          <w:rFonts w:ascii="Times New Roman" w:hAnsi="Times New Roman" w:cs="Times New Roman"/>
          <w:sz w:val="24"/>
          <w:szCs w:val="24"/>
        </w:rPr>
        <w:lastRenderedPageBreak/>
        <w:t xml:space="preserve">СМР, то тогава оценителната комисия следва да обследва този договор и да одобри </w:t>
      </w:r>
      <w:r w:rsidR="009A42E4">
        <w:rPr>
          <w:rFonts w:ascii="Times New Roman" w:hAnsi="Times New Roman" w:cs="Times New Roman"/>
          <w:sz w:val="24"/>
          <w:szCs w:val="24"/>
        </w:rPr>
        <w:t>избрания доставчик, като същия следва да се впише и в административния договор.</w:t>
      </w:r>
    </w:p>
    <w:p w:rsidR="000D180D" w:rsidRDefault="00C34926" w:rsidP="00BD21AD">
      <w:pPr>
        <w:tabs>
          <w:tab w:val="left" w:pos="851"/>
        </w:tabs>
        <w:spacing w:line="276" w:lineRule="auto"/>
        <w:jc w:val="both"/>
        <w:rPr>
          <w:rFonts w:ascii="Times New Roman" w:hAnsi="Times New Roman" w:cs="Times New Roman"/>
          <w:sz w:val="24"/>
          <w:szCs w:val="24"/>
        </w:rPr>
      </w:pPr>
      <w:r w:rsidRPr="00EA79BE">
        <w:rPr>
          <w:rFonts w:ascii="Times New Roman" w:hAnsi="Times New Roman" w:cs="Times New Roman"/>
          <w:sz w:val="24"/>
          <w:szCs w:val="24"/>
        </w:rPr>
        <w:t xml:space="preserve">3. </w:t>
      </w:r>
      <w:r w:rsidR="003525CE" w:rsidRPr="00EA79BE">
        <w:rPr>
          <w:rFonts w:ascii="Times New Roman" w:hAnsi="Times New Roman" w:cs="Times New Roman"/>
          <w:sz w:val="24"/>
          <w:szCs w:val="24"/>
        </w:rPr>
        <w:t xml:space="preserve"> </w:t>
      </w:r>
      <w:r w:rsidR="0060597E" w:rsidRPr="00EA79BE">
        <w:rPr>
          <w:rFonts w:ascii="Times New Roman" w:hAnsi="Times New Roman" w:cs="Times New Roman"/>
          <w:sz w:val="24"/>
          <w:szCs w:val="24"/>
        </w:rPr>
        <w:t>Ако за</w:t>
      </w:r>
      <w:r w:rsidRPr="00EA79BE">
        <w:rPr>
          <w:rFonts w:ascii="Times New Roman" w:hAnsi="Times New Roman" w:cs="Times New Roman"/>
          <w:sz w:val="24"/>
          <w:szCs w:val="24"/>
        </w:rPr>
        <w:t xml:space="preserve"> разходите оцветени в зелено, към датата на подаване на проектното предложение, съгласно условията за кандидатстване </w:t>
      </w:r>
      <w:r w:rsidRPr="00EA79BE">
        <w:rPr>
          <w:rFonts w:ascii="Times New Roman" w:hAnsi="Times New Roman" w:cs="Times New Roman"/>
          <w:b/>
          <w:sz w:val="24"/>
          <w:szCs w:val="24"/>
          <w:u w:val="single"/>
        </w:rPr>
        <w:t>не</w:t>
      </w:r>
      <w:r w:rsidRPr="00EA79BE">
        <w:rPr>
          <w:rFonts w:ascii="Times New Roman" w:hAnsi="Times New Roman" w:cs="Times New Roman"/>
          <w:sz w:val="24"/>
          <w:szCs w:val="24"/>
        </w:rPr>
        <w:t xml:space="preserve"> </w:t>
      </w:r>
      <w:r w:rsidRPr="00BD21AD">
        <w:rPr>
          <w:rFonts w:ascii="Times New Roman" w:hAnsi="Times New Roman" w:cs="Times New Roman"/>
          <w:sz w:val="24"/>
          <w:szCs w:val="24"/>
        </w:rPr>
        <w:t>се изисква предоставяне на предварителен договор за СМР, то тогава кандидатът следва да пред</w:t>
      </w:r>
      <w:r w:rsidR="00BF2AA9" w:rsidRPr="00BD21AD">
        <w:rPr>
          <w:rFonts w:ascii="Times New Roman" w:hAnsi="Times New Roman" w:cs="Times New Roman"/>
          <w:sz w:val="24"/>
          <w:szCs w:val="24"/>
        </w:rPr>
        <w:t>о</w:t>
      </w:r>
      <w:r w:rsidRPr="00BD21AD">
        <w:rPr>
          <w:rFonts w:ascii="Times New Roman" w:hAnsi="Times New Roman" w:cs="Times New Roman"/>
          <w:sz w:val="24"/>
          <w:szCs w:val="24"/>
        </w:rPr>
        <w:t xml:space="preserve">стави такъв, след сключване на административния договор. </w:t>
      </w:r>
      <w:r w:rsidR="000D180D">
        <w:rPr>
          <w:rFonts w:ascii="Times New Roman" w:hAnsi="Times New Roman" w:cs="Times New Roman"/>
          <w:sz w:val="24"/>
          <w:szCs w:val="24"/>
        </w:rPr>
        <w:t xml:space="preserve">Но, ако въпреки това, такъв е представен, виж </w:t>
      </w:r>
      <w:r w:rsidR="00211125">
        <w:rPr>
          <w:rFonts w:ascii="Times New Roman" w:hAnsi="Times New Roman" w:cs="Times New Roman"/>
          <w:sz w:val="24"/>
          <w:szCs w:val="24"/>
        </w:rPr>
        <w:t>указани</w:t>
      </w:r>
      <w:r w:rsidR="00771509">
        <w:rPr>
          <w:rFonts w:ascii="Times New Roman" w:hAnsi="Times New Roman" w:cs="Times New Roman"/>
          <w:sz w:val="24"/>
          <w:szCs w:val="24"/>
        </w:rPr>
        <w:t xml:space="preserve">ята, дадени в </w:t>
      </w:r>
      <w:r w:rsidR="000D180D">
        <w:rPr>
          <w:rFonts w:ascii="Times New Roman" w:hAnsi="Times New Roman" w:cs="Times New Roman"/>
          <w:sz w:val="24"/>
          <w:szCs w:val="24"/>
        </w:rPr>
        <w:t xml:space="preserve">т. 1.2 по-горе. </w:t>
      </w:r>
    </w:p>
    <w:p w:rsidR="008A5FF2" w:rsidRDefault="008A5FF2" w:rsidP="00BD21AD">
      <w:pPr>
        <w:tabs>
          <w:tab w:val="left" w:pos="851"/>
        </w:tabs>
        <w:spacing w:line="276" w:lineRule="auto"/>
        <w:jc w:val="both"/>
        <w:rPr>
          <w:rFonts w:ascii="Times New Roman" w:hAnsi="Times New Roman" w:cs="Times New Roman"/>
          <w:b/>
          <w:sz w:val="24"/>
          <w:szCs w:val="24"/>
          <w:u w:val="single"/>
        </w:rPr>
      </w:pPr>
    </w:p>
    <w:p w:rsidR="008A5FF2" w:rsidRDefault="008A5FF2" w:rsidP="00BD21AD">
      <w:pPr>
        <w:tabs>
          <w:tab w:val="left" w:pos="851"/>
        </w:tabs>
        <w:spacing w:line="276" w:lineRule="auto"/>
        <w:jc w:val="both"/>
        <w:rPr>
          <w:rFonts w:ascii="Times New Roman" w:hAnsi="Times New Roman" w:cs="Times New Roman"/>
          <w:b/>
          <w:sz w:val="24"/>
          <w:szCs w:val="24"/>
          <w:u w:val="single"/>
        </w:rPr>
      </w:pPr>
    </w:p>
    <w:p w:rsidR="008A5FF2" w:rsidRDefault="008A5FF2" w:rsidP="00BD21AD">
      <w:pPr>
        <w:tabs>
          <w:tab w:val="left" w:pos="851"/>
        </w:tabs>
        <w:spacing w:line="276" w:lineRule="auto"/>
        <w:jc w:val="both"/>
        <w:rPr>
          <w:rFonts w:ascii="Times New Roman" w:hAnsi="Times New Roman" w:cs="Times New Roman"/>
          <w:b/>
          <w:sz w:val="24"/>
          <w:szCs w:val="24"/>
          <w:u w:val="single"/>
        </w:rPr>
      </w:pPr>
    </w:p>
    <w:p w:rsidR="009065AB" w:rsidRDefault="009065AB" w:rsidP="00BD21AD">
      <w:pPr>
        <w:tabs>
          <w:tab w:val="left" w:pos="851"/>
        </w:tabs>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ТАБЛИЦА 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
        <w:gridCol w:w="6007"/>
        <w:gridCol w:w="3104"/>
      </w:tblGrid>
      <w:tr w:rsidR="009065AB" w:rsidRPr="00F63092" w:rsidTr="00F82D0C">
        <w:trPr>
          <w:trHeight w:val="300"/>
        </w:trPr>
        <w:tc>
          <w:tcPr>
            <w:tcW w:w="9493" w:type="dxa"/>
            <w:gridSpan w:val="3"/>
            <w:shd w:val="clear" w:color="000000" w:fill="D9D9D9"/>
            <w:vAlign w:val="bottom"/>
            <w:hideMark/>
          </w:tcPr>
          <w:p w:rsidR="009065AB" w:rsidRPr="00F63092" w:rsidRDefault="009065AB" w:rsidP="00F82D0C">
            <w:pPr>
              <w:spacing w:after="0" w:line="276" w:lineRule="auto"/>
              <w:jc w:val="center"/>
              <w:rPr>
                <w:rFonts w:ascii="Times New Roman" w:eastAsia="Times New Roman" w:hAnsi="Times New Roman" w:cs="Times New Roman"/>
                <w:b/>
                <w:bCs/>
                <w:noProof w:val="0"/>
                <w:color w:val="000000"/>
                <w:sz w:val="20"/>
                <w:szCs w:val="20"/>
                <w:lang w:eastAsia="bg-BG"/>
              </w:rPr>
            </w:pPr>
            <w:r w:rsidRPr="00F63092">
              <w:rPr>
                <w:rFonts w:ascii="Times New Roman" w:eastAsia="Times New Roman" w:hAnsi="Times New Roman" w:cs="Times New Roman"/>
                <w:b/>
                <w:bCs/>
                <w:noProof w:val="0"/>
                <w:color w:val="000000"/>
                <w:sz w:val="20"/>
                <w:szCs w:val="20"/>
                <w:lang w:eastAsia="bg-BG"/>
              </w:rPr>
              <w:t>Таблица за одобрени разходи</w:t>
            </w:r>
          </w:p>
        </w:tc>
      </w:tr>
      <w:tr w:rsidR="009065AB" w:rsidRPr="00F63092" w:rsidTr="00F82D0C">
        <w:trPr>
          <w:trHeight w:val="630"/>
        </w:trPr>
        <w:tc>
          <w:tcPr>
            <w:tcW w:w="382" w:type="dxa"/>
            <w:shd w:val="clear" w:color="000000" w:fill="F2F2F2"/>
            <w:noWrap/>
            <w:vAlign w:val="center"/>
            <w:hideMark/>
          </w:tcPr>
          <w:p w:rsidR="009065AB" w:rsidRPr="00F63092" w:rsidRDefault="009065AB" w:rsidP="00F82D0C">
            <w:pPr>
              <w:spacing w:after="0" w:line="276" w:lineRule="auto"/>
              <w:jc w:val="center"/>
              <w:rPr>
                <w:rFonts w:ascii="Times New Roman" w:eastAsia="Times New Roman" w:hAnsi="Times New Roman" w:cs="Times New Roman"/>
                <w:b/>
                <w:bCs/>
                <w:noProof w:val="0"/>
                <w:color w:val="000000"/>
                <w:sz w:val="20"/>
                <w:szCs w:val="20"/>
                <w:lang w:eastAsia="bg-BG"/>
              </w:rPr>
            </w:pPr>
            <w:r w:rsidRPr="00F63092">
              <w:rPr>
                <w:rFonts w:ascii="Times New Roman" w:eastAsia="Times New Roman" w:hAnsi="Times New Roman" w:cs="Times New Roman"/>
                <w:b/>
                <w:bCs/>
                <w:noProof w:val="0"/>
                <w:color w:val="000000"/>
                <w:sz w:val="20"/>
                <w:szCs w:val="20"/>
                <w:lang w:eastAsia="bg-BG"/>
              </w:rPr>
              <w:t>№</w:t>
            </w:r>
          </w:p>
        </w:tc>
        <w:tc>
          <w:tcPr>
            <w:tcW w:w="6007" w:type="dxa"/>
            <w:shd w:val="clear" w:color="000000" w:fill="F2F2F2"/>
            <w:noWrap/>
            <w:vAlign w:val="center"/>
            <w:hideMark/>
          </w:tcPr>
          <w:p w:rsidR="009065AB" w:rsidRPr="00F63092" w:rsidRDefault="009065AB" w:rsidP="00F82D0C">
            <w:pPr>
              <w:spacing w:after="0" w:line="276" w:lineRule="auto"/>
              <w:rPr>
                <w:rFonts w:ascii="Times New Roman" w:eastAsia="Times New Roman" w:hAnsi="Times New Roman" w:cs="Times New Roman"/>
                <w:b/>
                <w:bCs/>
                <w:noProof w:val="0"/>
                <w:sz w:val="20"/>
                <w:szCs w:val="20"/>
                <w:lang w:eastAsia="bg-BG"/>
              </w:rPr>
            </w:pPr>
            <w:r w:rsidRPr="00F63092">
              <w:rPr>
                <w:rFonts w:ascii="Times New Roman" w:eastAsia="Times New Roman" w:hAnsi="Times New Roman" w:cs="Times New Roman"/>
                <w:b/>
                <w:bCs/>
                <w:noProof w:val="0"/>
                <w:sz w:val="20"/>
                <w:szCs w:val="20"/>
                <w:lang w:eastAsia="bg-BG"/>
              </w:rPr>
              <w:t>Одобрени разходи</w:t>
            </w:r>
          </w:p>
        </w:tc>
        <w:tc>
          <w:tcPr>
            <w:tcW w:w="3104" w:type="dxa"/>
            <w:shd w:val="clear" w:color="000000" w:fill="F2F2F2"/>
            <w:vAlign w:val="center"/>
            <w:hideMark/>
          </w:tcPr>
          <w:p w:rsidR="009065AB" w:rsidRPr="00F63092" w:rsidRDefault="009065AB" w:rsidP="00F82D0C">
            <w:pPr>
              <w:spacing w:after="0" w:line="276" w:lineRule="auto"/>
              <w:rPr>
                <w:rFonts w:ascii="Times New Roman" w:eastAsia="Times New Roman" w:hAnsi="Times New Roman" w:cs="Times New Roman"/>
                <w:b/>
                <w:bCs/>
                <w:noProof w:val="0"/>
                <w:sz w:val="20"/>
                <w:szCs w:val="20"/>
                <w:lang w:eastAsia="bg-BG"/>
              </w:rPr>
            </w:pPr>
            <w:r w:rsidRPr="00F63092">
              <w:rPr>
                <w:rFonts w:ascii="Times New Roman" w:eastAsia="Times New Roman" w:hAnsi="Times New Roman" w:cs="Times New Roman"/>
                <w:b/>
                <w:bCs/>
                <w:noProof w:val="0"/>
                <w:sz w:val="20"/>
                <w:szCs w:val="20"/>
                <w:lang w:eastAsia="bg-BG"/>
              </w:rPr>
              <w:t>Одобрена сума /лв./ без ДДС</w:t>
            </w:r>
          </w:p>
        </w:tc>
      </w:tr>
      <w:tr w:rsidR="009065AB" w:rsidRPr="00F63092" w:rsidTr="00F82D0C">
        <w:trPr>
          <w:trHeight w:val="315"/>
        </w:trPr>
        <w:tc>
          <w:tcPr>
            <w:tcW w:w="382" w:type="dxa"/>
            <w:shd w:val="clear" w:color="auto" w:fill="auto"/>
            <w:noWrap/>
            <w:vAlign w:val="bottom"/>
            <w:hideMark/>
          </w:tcPr>
          <w:p w:rsidR="009065AB" w:rsidRPr="00F63092" w:rsidRDefault="009065AB" w:rsidP="00F82D0C">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1</w:t>
            </w:r>
          </w:p>
        </w:tc>
        <w:tc>
          <w:tcPr>
            <w:tcW w:w="6007" w:type="dxa"/>
            <w:shd w:val="clear" w:color="auto" w:fill="auto"/>
            <w:vAlign w:val="bottom"/>
            <w:hideMark/>
          </w:tcPr>
          <w:p w:rsidR="009065AB" w:rsidRPr="00F63092" w:rsidRDefault="009065AB" w:rsidP="00F82D0C">
            <w:pPr>
              <w:spacing w:after="0" w:line="276" w:lineRule="auto"/>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Настолен компютър</w:t>
            </w:r>
          </w:p>
        </w:tc>
        <w:tc>
          <w:tcPr>
            <w:tcW w:w="3104" w:type="dxa"/>
            <w:shd w:val="clear" w:color="000000" w:fill="FFFFFF"/>
            <w:vAlign w:val="center"/>
            <w:hideMark/>
          </w:tcPr>
          <w:p w:rsidR="009065AB" w:rsidRPr="00F63092" w:rsidRDefault="009065AB" w:rsidP="00F82D0C">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20 000,00</w:t>
            </w:r>
          </w:p>
        </w:tc>
      </w:tr>
      <w:tr w:rsidR="002618A2" w:rsidRPr="00F63092" w:rsidTr="008D22B1">
        <w:trPr>
          <w:trHeight w:val="315"/>
        </w:trPr>
        <w:tc>
          <w:tcPr>
            <w:tcW w:w="382" w:type="dxa"/>
            <w:shd w:val="clear" w:color="auto" w:fill="auto"/>
            <w:noWrap/>
            <w:vAlign w:val="bottom"/>
          </w:tcPr>
          <w:p w:rsidR="002618A2" w:rsidRPr="00F63092" w:rsidRDefault="002618A2" w:rsidP="002618A2">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2E74B5" w:themeColor="accent1" w:themeShade="BF"/>
                <w:sz w:val="20"/>
                <w:szCs w:val="20"/>
                <w:lang w:eastAsia="bg-BG"/>
              </w:rPr>
              <w:t>2</w:t>
            </w:r>
          </w:p>
        </w:tc>
        <w:tc>
          <w:tcPr>
            <w:tcW w:w="6007" w:type="dxa"/>
            <w:shd w:val="clear" w:color="auto" w:fill="auto"/>
            <w:vAlign w:val="bottom"/>
          </w:tcPr>
          <w:p w:rsidR="002618A2" w:rsidRPr="00F63092" w:rsidRDefault="002618A2" w:rsidP="002618A2">
            <w:pPr>
              <w:spacing w:after="0" w:line="276" w:lineRule="auto"/>
              <w:rPr>
                <w:rFonts w:ascii="Times New Roman" w:eastAsia="Times New Roman" w:hAnsi="Times New Roman" w:cs="Times New Roman"/>
                <w:noProof w:val="0"/>
                <w:color w:val="2E74B5" w:themeColor="accent1" w:themeShade="BF"/>
                <w:sz w:val="20"/>
                <w:szCs w:val="20"/>
                <w:lang w:eastAsia="bg-BG"/>
              </w:rPr>
            </w:pPr>
            <w:r w:rsidRPr="00F63092">
              <w:rPr>
                <w:rFonts w:ascii="Times New Roman" w:eastAsia="Times New Roman" w:hAnsi="Times New Roman" w:cs="Times New Roman"/>
                <w:noProof w:val="0"/>
                <w:color w:val="2E74B5" w:themeColor="accent1" w:themeShade="BF"/>
                <w:sz w:val="20"/>
                <w:szCs w:val="20"/>
                <w:lang w:eastAsia="bg-BG"/>
              </w:rPr>
              <w:t>Доставка на народни носии</w:t>
            </w:r>
          </w:p>
        </w:tc>
        <w:tc>
          <w:tcPr>
            <w:tcW w:w="3104" w:type="dxa"/>
            <w:shd w:val="clear" w:color="000000" w:fill="FFFFFF"/>
            <w:vAlign w:val="bottom"/>
          </w:tcPr>
          <w:p w:rsidR="002618A2" w:rsidRPr="00F63092" w:rsidRDefault="002618A2" w:rsidP="002618A2">
            <w:pPr>
              <w:spacing w:after="0" w:line="276" w:lineRule="auto"/>
              <w:rPr>
                <w:rFonts w:ascii="Times New Roman" w:eastAsia="Times New Roman" w:hAnsi="Times New Roman" w:cs="Times New Roman"/>
                <w:noProof w:val="0"/>
                <w:sz w:val="20"/>
                <w:szCs w:val="20"/>
                <w:lang w:eastAsia="bg-BG"/>
              </w:rPr>
            </w:pPr>
            <w:r w:rsidRPr="00F63092">
              <w:rPr>
                <w:rFonts w:ascii="Times New Roman" w:eastAsia="Times New Roman" w:hAnsi="Times New Roman" w:cs="Times New Roman"/>
                <w:noProof w:val="0"/>
                <w:sz w:val="20"/>
                <w:szCs w:val="20"/>
                <w:lang w:eastAsia="bg-BG"/>
              </w:rPr>
              <w:t xml:space="preserve">                </w:t>
            </w:r>
            <w:r w:rsidR="00DC2CB1" w:rsidRPr="00F63092">
              <w:rPr>
                <w:rFonts w:ascii="Times New Roman" w:eastAsia="Times New Roman" w:hAnsi="Times New Roman" w:cs="Times New Roman"/>
                <w:noProof w:val="0"/>
                <w:sz w:val="20"/>
                <w:szCs w:val="20"/>
                <w:lang w:eastAsia="bg-BG"/>
              </w:rPr>
              <w:t xml:space="preserve"> </w:t>
            </w:r>
            <w:r w:rsidRPr="00F63092">
              <w:rPr>
                <w:rFonts w:ascii="Times New Roman" w:eastAsia="Times New Roman" w:hAnsi="Times New Roman" w:cs="Times New Roman"/>
                <w:noProof w:val="0"/>
                <w:color w:val="2E74B5" w:themeColor="accent1" w:themeShade="BF"/>
                <w:sz w:val="20"/>
                <w:szCs w:val="20"/>
                <w:lang w:eastAsia="bg-BG"/>
              </w:rPr>
              <w:t>12 000,00</w:t>
            </w:r>
          </w:p>
        </w:tc>
      </w:tr>
      <w:tr w:rsidR="002618A2" w:rsidRPr="00F63092" w:rsidTr="00F82D0C">
        <w:trPr>
          <w:trHeight w:val="315"/>
        </w:trPr>
        <w:tc>
          <w:tcPr>
            <w:tcW w:w="382" w:type="dxa"/>
            <w:shd w:val="clear" w:color="auto" w:fill="auto"/>
            <w:noWrap/>
            <w:vAlign w:val="bottom"/>
            <w:hideMark/>
          </w:tcPr>
          <w:p w:rsidR="002618A2" w:rsidRPr="00F63092" w:rsidRDefault="002618A2" w:rsidP="002618A2">
            <w:pPr>
              <w:spacing w:after="0" w:line="276" w:lineRule="auto"/>
              <w:jc w:val="center"/>
              <w:rPr>
                <w:rFonts w:ascii="Times New Roman" w:eastAsia="Times New Roman" w:hAnsi="Times New Roman" w:cs="Times New Roman"/>
                <w:noProof w:val="0"/>
                <w:color w:val="00B050"/>
                <w:sz w:val="20"/>
                <w:szCs w:val="20"/>
                <w:lang w:eastAsia="bg-BG"/>
              </w:rPr>
            </w:pPr>
            <w:r w:rsidRPr="00F63092">
              <w:rPr>
                <w:rFonts w:ascii="Times New Roman" w:eastAsia="Times New Roman" w:hAnsi="Times New Roman" w:cs="Times New Roman"/>
                <w:noProof w:val="0"/>
                <w:color w:val="00B050"/>
                <w:sz w:val="20"/>
                <w:szCs w:val="20"/>
                <w:lang w:eastAsia="bg-BG"/>
              </w:rPr>
              <w:t>2</w:t>
            </w:r>
          </w:p>
        </w:tc>
        <w:tc>
          <w:tcPr>
            <w:tcW w:w="6007" w:type="dxa"/>
            <w:shd w:val="clear" w:color="auto" w:fill="auto"/>
            <w:noWrap/>
            <w:vAlign w:val="bottom"/>
            <w:hideMark/>
          </w:tcPr>
          <w:p w:rsidR="002618A2" w:rsidRPr="00F63092" w:rsidRDefault="002618A2" w:rsidP="002618A2">
            <w:pPr>
              <w:spacing w:after="0" w:line="276" w:lineRule="auto"/>
              <w:rPr>
                <w:rFonts w:ascii="Times New Roman" w:eastAsia="Times New Roman" w:hAnsi="Times New Roman" w:cs="Times New Roman"/>
                <w:noProof w:val="0"/>
                <w:color w:val="00B050"/>
                <w:sz w:val="20"/>
                <w:szCs w:val="20"/>
                <w:lang w:eastAsia="bg-BG"/>
              </w:rPr>
            </w:pPr>
            <w:r w:rsidRPr="00F63092">
              <w:rPr>
                <w:rFonts w:ascii="Times New Roman" w:eastAsia="Times New Roman" w:hAnsi="Times New Roman" w:cs="Times New Roman"/>
                <w:noProof w:val="0"/>
                <w:color w:val="00B050"/>
                <w:sz w:val="20"/>
                <w:szCs w:val="20"/>
                <w:lang w:eastAsia="bg-BG"/>
              </w:rPr>
              <w:t xml:space="preserve">СМР на сграда </w:t>
            </w:r>
          </w:p>
        </w:tc>
        <w:tc>
          <w:tcPr>
            <w:tcW w:w="3104" w:type="dxa"/>
            <w:shd w:val="clear" w:color="000000" w:fill="FFFFFF"/>
            <w:vAlign w:val="center"/>
            <w:hideMark/>
          </w:tcPr>
          <w:p w:rsidR="002618A2" w:rsidRPr="00F63092" w:rsidRDefault="002618A2" w:rsidP="002618A2">
            <w:pPr>
              <w:spacing w:after="0" w:line="276" w:lineRule="auto"/>
              <w:jc w:val="center"/>
              <w:rPr>
                <w:rFonts w:ascii="Times New Roman" w:eastAsia="Times New Roman" w:hAnsi="Times New Roman" w:cs="Times New Roman"/>
                <w:noProof w:val="0"/>
                <w:color w:val="00B050"/>
                <w:sz w:val="20"/>
                <w:szCs w:val="20"/>
                <w:lang w:eastAsia="bg-BG"/>
              </w:rPr>
            </w:pPr>
            <w:r w:rsidRPr="00F63092">
              <w:rPr>
                <w:rFonts w:ascii="Times New Roman" w:eastAsia="Times New Roman" w:hAnsi="Times New Roman" w:cs="Times New Roman"/>
                <w:noProof w:val="0"/>
                <w:color w:val="00B050"/>
                <w:sz w:val="20"/>
                <w:szCs w:val="20"/>
                <w:lang w:eastAsia="bg-BG"/>
              </w:rPr>
              <w:t>35 000,00</w:t>
            </w:r>
          </w:p>
        </w:tc>
      </w:tr>
      <w:tr w:rsidR="002618A2" w:rsidRPr="00F63092" w:rsidTr="00F82D0C">
        <w:trPr>
          <w:trHeight w:val="315"/>
        </w:trPr>
        <w:tc>
          <w:tcPr>
            <w:tcW w:w="382" w:type="dxa"/>
            <w:shd w:val="clear" w:color="auto" w:fill="auto"/>
            <w:noWrap/>
            <w:vAlign w:val="bottom"/>
            <w:hideMark/>
          </w:tcPr>
          <w:p w:rsidR="002618A2" w:rsidRPr="00F63092" w:rsidRDefault="002618A2" w:rsidP="002618A2">
            <w:pPr>
              <w:spacing w:after="0" w:line="276" w:lineRule="auto"/>
              <w:jc w:val="center"/>
              <w:rPr>
                <w:rFonts w:ascii="Times New Roman" w:eastAsia="Times New Roman" w:hAnsi="Times New Roman" w:cs="Times New Roman"/>
                <w:b/>
                <w:bCs/>
                <w:noProof w:val="0"/>
                <w:color w:val="FF0000"/>
                <w:sz w:val="20"/>
                <w:szCs w:val="20"/>
                <w:lang w:eastAsia="bg-BG"/>
              </w:rPr>
            </w:pPr>
            <w:r w:rsidRPr="00F63092">
              <w:rPr>
                <w:rFonts w:ascii="Times New Roman" w:eastAsia="Times New Roman" w:hAnsi="Times New Roman" w:cs="Times New Roman"/>
                <w:b/>
                <w:bCs/>
                <w:noProof w:val="0"/>
                <w:color w:val="FF0000"/>
                <w:sz w:val="20"/>
                <w:szCs w:val="20"/>
                <w:lang w:eastAsia="bg-BG"/>
              </w:rPr>
              <w:t>1</w:t>
            </w:r>
          </w:p>
        </w:tc>
        <w:tc>
          <w:tcPr>
            <w:tcW w:w="6007" w:type="dxa"/>
            <w:shd w:val="clear" w:color="auto" w:fill="auto"/>
            <w:noWrap/>
            <w:vAlign w:val="bottom"/>
            <w:hideMark/>
          </w:tcPr>
          <w:p w:rsidR="002618A2" w:rsidRPr="00F63092" w:rsidRDefault="002618A2" w:rsidP="002618A2">
            <w:pPr>
              <w:spacing w:after="0" w:line="276" w:lineRule="auto"/>
              <w:rPr>
                <w:rFonts w:ascii="Times New Roman" w:eastAsia="Times New Roman" w:hAnsi="Times New Roman" w:cs="Times New Roman"/>
                <w:b/>
                <w:bCs/>
                <w:noProof w:val="0"/>
                <w:color w:val="FF0000"/>
                <w:sz w:val="20"/>
                <w:szCs w:val="20"/>
                <w:lang w:eastAsia="bg-BG"/>
              </w:rPr>
            </w:pPr>
            <w:r w:rsidRPr="00F63092">
              <w:rPr>
                <w:rFonts w:ascii="Times New Roman" w:eastAsia="Times New Roman" w:hAnsi="Times New Roman" w:cs="Times New Roman"/>
                <w:b/>
                <w:bCs/>
                <w:noProof w:val="0"/>
                <w:color w:val="FF0000"/>
                <w:sz w:val="20"/>
                <w:szCs w:val="20"/>
                <w:lang w:eastAsia="bg-BG"/>
              </w:rPr>
              <w:t>Одобрени разходи за доставка на оборудване:</w:t>
            </w:r>
          </w:p>
        </w:tc>
        <w:tc>
          <w:tcPr>
            <w:tcW w:w="3104" w:type="dxa"/>
            <w:shd w:val="clear" w:color="auto" w:fill="auto"/>
            <w:noWrap/>
            <w:vAlign w:val="bottom"/>
            <w:hideMark/>
          </w:tcPr>
          <w:p w:rsidR="002618A2" w:rsidRPr="00F63092" w:rsidRDefault="00DC2CB1" w:rsidP="002618A2">
            <w:pPr>
              <w:spacing w:after="0" w:line="276" w:lineRule="auto"/>
              <w:jc w:val="center"/>
              <w:rPr>
                <w:rFonts w:ascii="Times New Roman" w:eastAsia="Times New Roman" w:hAnsi="Times New Roman" w:cs="Times New Roman"/>
                <w:b/>
                <w:bCs/>
                <w:noProof w:val="0"/>
                <w:color w:val="FF0000"/>
                <w:sz w:val="20"/>
                <w:szCs w:val="20"/>
                <w:lang w:eastAsia="bg-BG"/>
              </w:rPr>
            </w:pPr>
            <w:r w:rsidRPr="00F63092">
              <w:rPr>
                <w:rFonts w:ascii="Times New Roman" w:eastAsia="Times New Roman" w:hAnsi="Times New Roman" w:cs="Times New Roman"/>
                <w:b/>
                <w:bCs/>
                <w:noProof w:val="0"/>
                <w:color w:val="FF0000"/>
                <w:sz w:val="20"/>
                <w:szCs w:val="20"/>
                <w:lang w:eastAsia="bg-BG"/>
              </w:rPr>
              <w:t>20 000</w:t>
            </w:r>
            <w:r w:rsidR="002618A2" w:rsidRPr="00F63092">
              <w:rPr>
                <w:rFonts w:ascii="Times New Roman" w:eastAsia="Times New Roman" w:hAnsi="Times New Roman" w:cs="Times New Roman"/>
                <w:b/>
                <w:bCs/>
                <w:noProof w:val="0"/>
                <w:color w:val="FF0000"/>
                <w:sz w:val="20"/>
                <w:szCs w:val="20"/>
                <w:lang w:eastAsia="bg-BG"/>
              </w:rPr>
              <w:t>,00</w:t>
            </w:r>
          </w:p>
        </w:tc>
      </w:tr>
      <w:tr w:rsidR="001955B6" w:rsidRPr="00F63092" w:rsidTr="00F82D0C">
        <w:trPr>
          <w:trHeight w:val="315"/>
        </w:trPr>
        <w:tc>
          <w:tcPr>
            <w:tcW w:w="382" w:type="dxa"/>
            <w:shd w:val="clear" w:color="auto" w:fill="auto"/>
            <w:noWrap/>
            <w:vAlign w:val="bottom"/>
          </w:tcPr>
          <w:p w:rsidR="001955B6" w:rsidRPr="00F63092" w:rsidRDefault="001955B6" w:rsidP="001955B6">
            <w:pPr>
              <w:spacing w:after="0" w:line="276" w:lineRule="auto"/>
              <w:jc w:val="center"/>
              <w:rPr>
                <w:rFonts w:ascii="Times New Roman" w:eastAsia="Times New Roman" w:hAnsi="Times New Roman" w:cs="Times New Roman"/>
                <w:b/>
                <w:bCs/>
                <w:noProof w:val="0"/>
                <w:color w:val="2E74B5" w:themeColor="accent1" w:themeShade="BF"/>
                <w:sz w:val="20"/>
                <w:szCs w:val="20"/>
                <w:lang w:eastAsia="bg-BG"/>
              </w:rPr>
            </w:pPr>
            <w:r w:rsidRPr="00F63092">
              <w:rPr>
                <w:rFonts w:ascii="Times New Roman" w:eastAsia="Times New Roman" w:hAnsi="Times New Roman" w:cs="Times New Roman"/>
                <w:b/>
                <w:bCs/>
                <w:noProof w:val="0"/>
                <w:color w:val="2E74B5" w:themeColor="accent1" w:themeShade="BF"/>
                <w:sz w:val="20"/>
                <w:szCs w:val="20"/>
                <w:lang w:eastAsia="bg-BG"/>
              </w:rPr>
              <w:t>3</w:t>
            </w:r>
          </w:p>
        </w:tc>
        <w:tc>
          <w:tcPr>
            <w:tcW w:w="6007" w:type="dxa"/>
            <w:shd w:val="clear" w:color="auto" w:fill="auto"/>
            <w:noWrap/>
            <w:vAlign w:val="bottom"/>
          </w:tcPr>
          <w:p w:rsidR="001955B6" w:rsidRPr="00F63092" w:rsidRDefault="001955B6" w:rsidP="001955B6">
            <w:pPr>
              <w:spacing w:after="0" w:line="276" w:lineRule="auto"/>
              <w:rPr>
                <w:rFonts w:ascii="Times New Roman" w:eastAsia="Times New Roman" w:hAnsi="Times New Roman" w:cs="Times New Roman"/>
                <w:b/>
                <w:bCs/>
                <w:noProof w:val="0"/>
                <w:color w:val="2E74B5" w:themeColor="accent1" w:themeShade="BF"/>
                <w:sz w:val="20"/>
                <w:szCs w:val="20"/>
                <w:lang w:eastAsia="bg-BG"/>
              </w:rPr>
            </w:pPr>
            <w:r w:rsidRPr="00F63092">
              <w:rPr>
                <w:rFonts w:ascii="Times New Roman" w:eastAsia="Times New Roman" w:hAnsi="Times New Roman" w:cs="Times New Roman"/>
                <w:b/>
                <w:bCs/>
                <w:noProof w:val="0"/>
                <w:color w:val="2E74B5" w:themeColor="accent1" w:themeShade="BF"/>
                <w:sz w:val="20"/>
                <w:szCs w:val="20"/>
                <w:lang w:eastAsia="bg-BG"/>
              </w:rPr>
              <w:t xml:space="preserve">Одобрени разходи за доставка на народни носии </w:t>
            </w:r>
          </w:p>
        </w:tc>
        <w:tc>
          <w:tcPr>
            <w:tcW w:w="3104" w:type="dxa"/>
            <w:shd w:val="clear" w:color="auto" w:fill="auto"/>
            <w:noWrap/>
            <w:vAlign w:val="bottom"/>
          </w:tcPr>
          <w:p w:rsidR="001955B6" w:rsidRPr="00F63092" w:rsidRDefault="001955B6" w:rsidP="001955B6">
            <w:pPr>
              <w:spacing w:after="0" w:line="276" w:lineRule="auto"/>
              <w:jc w:val="center"/>
              <w:rPr>
                <w:rFonts w:ascii="Times New Roman" w:eastAsia="Times New Roman" w:hAnsi="Times New Roman" w:cs="Times New Roman"/>
                <w:b/>
                <w:bCs/>
                <w:noProof w:val="0"/>
                <w:color w:val="2E74B5" w:themeColor="accent1" w:themeShade="BF"/>
                <w:sz w:val="20"/>
                <w:szCs w:val="20"/>
                <w:lang w:eastAsia="bg-BG"/>
              </w:rPr>
            </w:pPr>
            <w:r w:rsidRPr="00F63092">
              <w:rPr>
                <w:rFonts w:ascii="Times New Roman" w:eastAsia="Times New Roman" w:hAnsi="Times New Roman" w:cs="Times New Roman"/>
                <w:b/>
                <w:bCs/>
                <w:noProof w:val="0"/>
                <w:color w:val="2E74B5" w:themeColor="accent1" w:themeShade="BF"/>
                <w:sz w:val="20"/>
                <w:szCs w:val="20"/>
                <w:lang w:eastAsia="bg-BG"/>
              </w:rPr>
              <w:t>12 000,00</w:t>
            </w:r>
          </w:p>
        </w:tc>
      </w:tr>
      <w:tr w:rsidR="001955B6" w:rsidRPr="00F63092" w:rsidTr="00F82D0C">
        <w:trPr>
          <w:trHeight w:val="315"/>
        </w:trPr>
        <w:tc>
          <w:tcPr>
            <w:tcW w:w="382" w:type="dxa"/>
            <w:shd w:val="clear" w:color="auto" w:fill="auto"/>
            <w:noWrap/>
            <w:vAlign w:val="bottom"/>
            <w:hideMark/>
          </w:tcPr>
          <w:p w:rsidR="001955B6" w:rsidRPr="00F63092" w:rsidRDefault="001955B6" w:rsidP="001955B6">
            <w:pPr>
              <w:spacing w:after="0" w:line="276" w:lineRule="auto"/>
              <w:jc w:val="center"/>
              <w:rPr>
                <w:rFonts w:ascii="Times New Roman" w:eastAsia="Times New Roman" w:hAnsi="Times New Roman" w:cs="Times New Roman"/>
                <w:b/>
                <w:bCs/>
                <w:noProof w:val="0"/>
                <w:color w:val="00B050"/>
                <w:sz w:val="20"/>
                <w:szCs w:val="20"/>
                <w:lang w:eastAsia="bg-BG"/>
              </w:rPr>
            </w:pPr>
            <w:r w:rsidRPr="00F63092">
              <w:rPr>
                <w:rFonts w:ascii="Times New Roman" w:eastAsia="Times New Roman" w:hAnsi="Times New Roman" w:cs="Times New Roman"/>
                <w:b/>
                <w:bCs/>
                <w:noProof w:val="0"/>
                <w:color w:val="00B050"/>
                <w:sz w:val="20"/>
                <w:szCs w:val="20"/>
                <w:lang w:eastAsia="bg-BG"/>
              </w:rPr>
              <w:t>2</w:t>
            </w:r>
          </w:p>
        </w:tc>
        <w:tc>
          <w:tcPr>
            <w:tcW w:w="6007" w:type="dxa"/>
            <w:shd w:val="clear" w:color="auto" w:fill="auto"/>
            <w:noWrap/>
            <w:vAlign w:val="bottom"/>
            <w:hideMark/>
          </w:tcPr>
          <w:p w:rsidR="001955B6" w:rsidRPr="00F63092" w:rsidRDefault="001955B6" w:rsidP="001955B6">
            <w:pPr>
              <w:spacing w:after="0" w:line="276" w:lineRule="auto"/>
              <w:rPr>
                <w:rFonts w:ascii="Times New Roman" w:eastAsia="Times New Roman" w:hAnsi="Times New Roman" w:cs="Times New Roman"/>
                <w:b/>
                <w:bCs/>
                <w:noProof w:val="0"/>
                <w:color w:val="00B050"/>
                <w:sz w:val="20"/>
                <w:szCs w:val="20"/>
                <w:lang w:eastAsia="bg-BG"/>
              </w:rPr>
            </w:pPr>
            <w:r w:rsidRPr="00F63092">
              <w:rPr>
                <w:rFonts w:ascii="Times New Roman" w:eastAsia="Times New Roman" w:hAnsi="Times New Roman" w:cs="Times New Roman"/>
                <w:b/>
                <w:bCs/>
                <w:noProof w:val="0"/>
                <w:color w:val="00B050"/>
                <w:sz w:val="20"/>
                <w:szCs w:val="20"/>
                <w:lang w:eastAsia="bg-BG"/>
              </w:rPr>
              <w:t>Одобрени разходи за СМР:</w:t>
            </w:r>
          </w:p>
        </w:tc>
        <w:tc>
          <w:tcPr>
            <w:tcW w:w="3104" w:type="dxa"/>
            <w:shd w:val="clear" w:color="auto" w:fill="auto"/>
            <w:noWrap/>
            <w:vAlign w:val="bottom"/>
            <w:hideMark/>
          </w:tcPr>
          <w:p w:rsidR="001955B6" w:rsidRPr="00F63092" w:rsidRDefault="001955B6" w:rsidP="001955B6">
            <w:pPr>
              <w:spacing w:after="0" w:line="276" w:lineRule="auto"/>
              <w:jc w:val="center"/>
              <w:rPr>
                <w:rFonts w:ascii="Times New Roman" w:eastAsia="Times New Roman" w:hAnsi="Times New Roman" w:cs="Times New Roman"/>
                <w:b/>
                <w:bCs/>
                <w:noProof w:val="0"/>
                <w:color w:val="00B050"/>
                <w:sz w:val="20"/>
                <w:szCs w:val="20"/>
                <w:lang w:eastAsia="bg-BG"/>
              </w:rPr>
            </w:pPr>
            <w:r w:rsidRPr="00F63092">
              <w:rPr>
                <w:rFonts w:ascii="Times New Roman" w:eastAsia="Times New Roman" w:hAnsi="Times New Roman" w:cs="Times New Roman"/>
                <w:b/>
                <w:bCs/>
                <w:noProof w:val="0"/>
                <w:color w:val="00B050"/>
                <w:sz w:val="20"/>
                <w:szCs w:val="20"/>
                <w:lang w:eastAsia="bg-BG"/>
              </w:rPr>
              <w:t>35 000,00</w:t>
            </w:r>
          </w:p>
        </w:tc>
      </w:tr>
      <w:tr w:rsidR="001955B6" w:rsidRPr="00F63092" w:rsidTr="00F82D0C">
        <w:trPr>
          <w:trHeight w:val="315"/>
        </w:trPr>
        <w:tc>
          <w:tcPr>
            <w:tcW w:w="382" w:type="dxa"/>
            <w:shd w:val="clear" w:color="auto" w:fill="auto"/>
            <w:noWrap/>
            <w:vAlign w:val="bottom"/>
          </w:tcPr>
          <w:p w:rsidR="001955B6" w:rsidRPr="00F63092" w:rsidRDefault="001955B6" w:rsidP="001955B6">
            <w:pPr>
              <w:spacing w:after="0" w:line="276" w:lineRule="auto"/>
              <w:jc w:val="center"/>
              <w:rPr>
                <w:rFonts w:ascii="Times New Roman" w:eastAsia="Times New Roman" w:hAnsi="Times New Roman" w:cs="Times New Roman"/>
                <w:b/>
                <w:bCs/>
                <w:noProof w:val="0"/>
                <w:color w:val="FF0000"/>
                <w:sz w:val="20"/>
                <w:szCs w:val="20"/>
                <w:lang w:eastAsia="bg-BG"/>
              </w:rPr>
            </w:pPr>
            <w:r w:rsidRPr="00F63092">
              <w:rPr>
                <w:rFonts w:ascii="Times New Roman" w:eastAsia="Times New Roman" w:hAnsi="Times New Roman" w:cs="Times New Roman"/>
                <w:b/>
                <w:bCs/>
                <w:noProof w:val="0"/>
                <w:color w:val="FF0000"/>
                <w:sz w:val="20"/>
                <w:szCs w:val="20"/>
                <w:lang w:eastAsia="bg-BG"/>
              </w:rPr>
              <w:t>*</w:t>
            </w:r>
          </w:p>
        </w:tc>
        <w:tc>
          <w:tcPr>
            <w:tcW w:w="6007" w:type="dxa"/>
            <w:shd w:val="clear" w:color="auto" w:fill="auto"/>
            <w:noWrap/>
            <w:vAlign w:val="bottom"/>
          </w:tcPr>
          <w:p w:rsidR="001955B6" w:rsidRPr="00F63092" w:rsidRDefault="001955B6" w:rsidP="001955B6">
            <w:pPr>
              <w:spacing w:after="0" w:line="276" w:lineRule="auto"/>
              <w:rPr>
                <w:rFonts w:ascii="Times New Roman" w:eastAsia="Times New Roman" w:hAnsi="Times New Roman" w:cs="Times New Roman"/>
                <w:b/>
                <w:bCs/>
                <w:noProof w:val="0"/>
                <w:color w:val="FF0000"/>
                <w:sz w:val="20"/>
                <w:szCs w:val="20"/>
                <w:lang w:eastAsia="bg-BG"/>
              </w:rPr>
            </w:pPr>
            <w:r w:rsidRPr="00F63092">
              <w:rPr>
                <w:rFonts w:ascii="Times New Roman" w:eastAsia="Times New Roman" w:hAnsi="Times New Roman" w:cs="Times New Roman"/>
                <w:b/>
                <w:bCs/>
                <w:noProof w:val="0"/>
                <w:color w:val="FF0000"/>
                <w:sz w:val="20"/>
                <w:szCs w:val="20"/>
                <w:lang w:eastAsia="bg-BG"/>
              </w:rPr>
              <w:t>Одобрена субсидия:</w:t>
            </w:r>
          </w:p>
        </w:tc>
        <w:tc>
          <w:tcPr>
            <w:tcW w:w="3104" w:type="dxa"/>
            <w:shd w:val="clear" w:color="auto" w:fill="auto"/>
            <w:noWrap/>
            <w:vAlign w:val="bottom"/>
          </w:tcPr>
          <w:p w:rsidR="001955B6" w:rsidRPr="00F63092" w:rsidRDefault="001955B6" w:rsidP="001955B6">
            <w:pPr>
              <w:spacing w:after="0" w:line="276" w:lineRule="auto"/>
              <w:jc w:val="center"/>
              <w:rPr>
                <w:rFonts w:ascii="Times New Roman" w:eastAsia="Times New Roman" w:hAnsi="Times New Roman" w:cs="Times New Roman"/>
                <w:b/>
                <w:bCs/>
                <w:noProof w:val="0"/>
                <w:color w:val="FF0000"/>
                <w:sz w:val="20"/>
                <w:szCs w:val="20"/>
                <w:lang w:eastAsia="bg-BG"/>
              </w:rPr>
            </w:pPr>
            <w:r w:rsidRPr="00F63092">
              <w:rPr>
                <w:rFonts w:ascii="Times New Roman" w:eastAsia="Times New Roman" w:hAnsi="Times New Roman" w:cs="Times New Roman"/>
                <w:b/>
                <w:bCs/>
                <w:noProof w:val="0"/>
                <w:color w:val="FF0000"/>
                <w:sz w:val="20"/>
                <w:szCs w:val="20"/>
                <w:lang w:eastAsia="bg-BG"/>
              </w:rPr>
              <w:t>над 50%</w:t>
            </w:r>
          </w:p>
        </w:tc>
      </w:tr>
    </w:tbl>
    <w:p w:rsidR="009065AB" w:rsidRDefault="009065AB" w:rsidP="00BD21AD">
      <w:pPr>
        <w:tabs>
          <w:tab w:val="left" w:pos="851"/>
        </w:tabs>
        <w:spacing w:line="276" w:lineRule="auto"/>
        <w:jc w:val="both"/>
        <w:rPr>
          <w:rFonts w:ascii="Times New Roman" w:hAnsi="Times New Roman" w:cs="Times New Roman"/>
          <w:b/>
          <w:sz w:val="24"/>
          <w:szCs w:val="24"/>
          <w:u w:val="single"/>
        </w:rPr>
      </w:pPr>
    </w:p>
    <w:p w:rsidR="00FB2672" w:rsidRDefault="009A42E4" w:rsidP="00BD21AD">
      <w:pPr>
        <w:tabs>
          <w:tab w:val="left" w:pos="851"/>
        </w:tabs>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Заключение: </w:t>
      </w:r>
    </w:p>
    <w:p w:rsidR="009A42E4" w:rsidRDefault="00FB2672" w:rsidP="00BD21AD">
      <w:pPr>
        <w:tabs>
          <w:tab w:val="left" w:pos="851"/>
        </w:tabs>
        <w:spacing w:line="276" w:lineRule="auto"/>
        <w:jc w:val="both"/>
        <w:rPr>
          <w:rFonts w:ascii="Times New Roman" w:hAnsi="Times New Roman" w:cs="Times New Roman"/>
          <w:sz w:val="24"/>
          <w:szCs w:val="24"/>
        </w:rPr>
      </w:pPr>
      <w:r w:rsidRPr="00FB2672">
        <w:rPr>
          <w:rFonts w:ascii="Times New Roman" w:hAnsi="Times New Roman" w:cs="Times New Roman"/>
          <w:sz w:val="24"/>
          <w:szCs w:val="24"/>
        </w:rPr>
        <w:t>1. За разходите за СМР, оцветени в зелено следва да с</w:t>
      </w:r>
      <w:r w:rsidR="009A42E4" w:rsidRPr="00FB2672">
        <w:rPr>
          <w:rFonts w:ascii="Times New Roman" w:hAnsi="Times New Roman" w:cs="Times New Roman"/>
          <w:sz w:val="24"/>
          <w:szCs w:val="24"/>
        </w:rPr>
        <w:t>пазвате</w:t>
      </w:r>
      <w:r w:rsidR="009A42E4" w:rsidRPr="009A42E4">
        <w:rPr>
          <w:rFonts w:ascii="Times New Roman" w:hAnsi="Times New Roman" w:cs="Times New Roman"/>
          <w:sz w:val="24"/>
          <w:szCs w:val="24"/>
        </w:rPr>
        <w:t xml:space="preserve"> указанията дадени в заключението под Таблица № 1</w:t>
      </w:r>
      <w:r>
        <w:rPr>
          <w:rFonts w:ascii="Times New Roman" w:hAnsi="Times New Roman" w:cs="Times New Roman"/>
          <w:sz w:val="24"/>
          <w:szCs w:val="24"/>
        </w:rPr>
        <w:t>.</w:t>
      </w:r>
    </w:p>
    <w:p w:rsidR="000B7DFD" w:rsidRDefault="000B7DFD" w:rsidP="00BD21AD">
      <w:pPr>
        <w:tabs>
          <w:tab w:val="left" w:pos="851"/>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Видно от посочения пример, </w:t>
      </w:r>
      <w:r w:rsidR="0083530C">
        <w:rPr>
          <w:rFonts w:ascii="Times New Roman" w:hAnsi="Times New Roman" w:cs="Times New Roman"/>
          <w:sz w:val="24"/>
          <w:szCs w:val="24"/>
        </w:rPr>
        <w:t xml:space="preserve">общо </w:t>
      </w:r>
      <w:r>
        <w:rPr>
          <w:rFonts w:ascii="Times New Roman" w:hAnsi="Times New Roman" w:cs="Times New Roman"/>
          <w:sz w:val="24"/>
          <w:szCs w:val="24"/>
        </w:rPr>
        <w:t xml:space="preserve">одобрените разходи за доставка на настоелен компютър и доставка на народни носии надхвърлят прага за доставка от 30 000 лв. без ДДС, но </w:t>
      </w:r>
      <w:r w:rsidR="00792D0B">
        <w:rPr>
          <w:rFonts w:ascii="Times New Roman" w:hAnsi="Times New Roman" w:cs="Times New Roman"/>
          <w:sz w:val="24"/>
          <w:szCs w:val="24"/>
        </w:rPr>
        <w:t xml:space="preserve">за </w:t>
      </w:r>
      <w:r>
        <w:rPr>
          <w:rFonts w:ascii="Times New Roman" w:hAnsi="Times New Roman" w:cs="Times New Roman"/>
          <w:sz w:val="24"/>
          <w:szCs w:val="24"/>
        </w:rPr>
        <w:t xml:space="preserve">същите </w:t>
      </w:r>
      <w:r w:rsidR="00722681">
        <w:rPr>
          <w:rFonts w:ascii="Times New Roman" w:hAnsi="Times New Roman" w:cs="Times New Roman"/>
          <w:sz w:val="24"/>
          <w:szCs w:val="24"/>
        </w:rPr>
        <w:t>не се налага провеждане на процедура по реда на ПМС 160</w:t>
      </w:r>
      <w:r w:rsidR="0012251E">
        <w:rPr>
          <w:rFonts w:ascii="Times New Roman" w:hAnsi="Times New Roman" w:cs="Times New Roman"/>
          <w:sz w:val="24"/>
          <w:szCs w:val="24"/>
        </w:rPr>
        <w:t xml:space="preserve"> с публична покана, тъй като</w:t>
      </w:r>
      <w:r w:rsidR="002F79BA">
        <w:rPr>
          <w:rFonts w:ascii="Times New Roman" w:hAnsi="Times New Roman" w:cs="Times New Roman"/>
          <w:sz w:val="24"/>
          <w:szCs w:val="24"/>
        </w:rPr>
        <w:t xml:space="preserve"> </w:t>
      </w:r>
      <w:r w:rsidR="0083530C">
        <w:rPr>
          <w:rFonts w:ascii="Times New Roman" w:hAnsi="Times New Roman" w:cs="Times New Roman"/>
          <w:sz w:val="24"/>
          <w:szCs w:val="24"/>
        </w:rPr>
        <w:t>двете доставки не са предвидени за</w:t>
      </w:r>
      <w:r w:rsidR="0083530C" w:rsidRPr="0083530C">
        <w:rPr>
          <w:rFonts w:ascii="Times New Roman" w:hAnsi="Times New Roman" w:cs="Times New Roman"/>
          <w:sz w:val="24"/>
          <w:szCs w:val="24"/>
        </w:rPr>
        <w:t xml:space="preserve"> сходни нужди</w:t>
      </w:r>
      <w:r w:rsidR="0083530C">
        <w:rPr>
          <w:rFonts w:ascii="Times New Roman" w:hAnsi="Times New Roman" w:cs="Times New Roman"/>
          <w:sz w:val="24"/>
          <w:szCs w:val="24"/>
        </w:rPr>
        <w:t>.</w:t>
      </w:r>
      <w:r w:rsidR="00722681">
        <w:rPr>
          <w:rFonts w:ascii="Times New Roman" w:hAnsi="Times New Roman" w:cs="Times New Roman"/>
          <w:sz w:val="24"/>
          <w:szCs w:val="24"/>
        </w:rPr>
        <w:t xml:space="preserve"> </w:t>
      </w:r>
      <w:r w:rsidR="00792D0B">
        <w:rPr>
          <w:rFonts w:ascii="Times New Roman" w:hAnsi="Times New Roman" w:cs="Times New Roman"/>
          <w:sz w:val="24"/>
          <w:szCs w:val="24"/>
        </w:rPr>
        <w:t>Реда за определяне на доставчика е разписан в заключението под Таблица № 1.</w:t>
      </w:r>
    </w:p>
    <w:p w:rsidR="009065AB" w:rsidRDefault="009065AB" w:rsidP="00BD21AD">
      <w:pPr>
        <w:tabs>
          <w:tab w:val="left" w:pos="851"/>
        </w:tabs>
        <w:spacing w:line="276" w:lineRule="auto"/>
        <w:jc w:val="both"/>
        <w:rPr>
          <w:rFonts w:ascii="Times New Roman" w:hAnsi="Times New Roman" w:cs="Times New Roman"/>
          <w:b/>
          <w:sz w:val="24"/>
          <w:szCs w:val="24"/>
          <w:u w:val="single"/>
        </w:rPr>
      </w:pPr>
    </w:p>
    <w:p w:rsidR="008059C8" w:rsidRPr="00BD21AD" w:rsidRDefault="009065AB" w:rsidP="00BD21AD">
      <w:pPr>
        <w:tabs>
          <w:tab w:val="left" w:pos="851"/>
        </w:tabs>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ТАБЛИЦА № 3:</w:t>
      </w:r>
    </w:p>
    <w:tbl>
      <w:tblPr>
        <w:tblW w:w="9493" w:type="dxa"/>
        <w:tblCellMar>
          <w:left w:w="70" w:type="dxa"/>
          <w:right w:w="70" w:type="dxa"/>
        </w:tblCellMar>
        <w:tblLook w:val="04A0" w:firstRow="1" w:lastRow="0" w:firstColumn="1" w:lastColumn="0" w:noHBand="0" w:noVBand="1"/>
      </w:tblPr>
      <w:tblGrid>
        <w:gridCol w:w="382"/>
        <w:gridCol w:w="6007"/>
        <w:gridCol w:w="3104"/>
      </w:tblGrid>
      <w:tr w:rsidR="00E70A05" w:rsidRPr="00F63092" w:rsidTr="00E70A05">
        <w:trPr>
          <w:trHeight w:val="315"/>
        </w:trPr>
        <w:tc>
          <w:tcPr>
            <w:tcW w:w="9493"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E70A05" w:rsidRPr="00F63092" w:rsidRDefault="007327A7" w:rsidP="00BD21AD">
            <w:pPr>
              <w:spacing w:after="0" w:line="276" w:lineRule="auto"/>
              <w:jc w:val="center"/>
              <w:rPr>
                <w:rFonts w:ascii="Times New Roman" w:eastAsia="Times New Roman" w:hAnsi="Times New Roman" w:cs="Times New Roman"/>
                <w:b/>
                <w:bCs/>
                <w:noProof w:val="0"/>
                <w:color w:val="000000"/>
                <w:sz w:val="20"/>
                <w:szCs w:val="20"/>
                <w:lang w:eastAsia="bg-BG"/>
              </w:rPr>
            </w:pPr>
            <w:r w:rsidRPr="00F63092">
              <w:rPr>
                <w:rFonts w:ascii="Times New Roman" w:eastAsia="Times New Roman" w:hAnsi="Times New Roman" w:cs="Times New Roman"/>
                <w:b/>
                <w:bCs/>
                <w:noProof w:val="0"/>
                <w:color w:val="000000"/>
                <w:sz w:val="20"/>
                <w:szCs w:val="20"/>
                <w:lang w:eastAsia="bg-BG"/>
              </w:rPr>
              <w:t>Таблица за одобрените разходи</w:t>
            </w:r>
          </w:p>
        </w:tc>
      </w:tr>
      <w:tr w:rsidR="00E70A05" w:rsidRPr="00F63092" w:rsidTr="00E70A05">
        <w:trPr>
          <w:trHeight w:val="630"/>
        </w:trPr>
        <w:tc>
          <w:tcPr>
            <w:tcW w:w="382" w:type="dxa"/>
            <w:tcBorders>
              <w:top w:val="nil"/>
              <w:left w:val="single" w:sz="8" w:space="0" w:color="auto"/>
              <w:bottom w:val="single" w:sz="4" w:space="0" w:color="auto"/>
              <w:right w:val="single" w:sz="4" w:space="0" w:color="auto"/>
            </w:tcBorders>
            <w:shd w:val="clear" w:color="000000" w:fill="F2F2F2"/>
            <w:noWrap/>
            <w:vAlign w:val="center"/>
            <w:hideMark/>
          </w:tcPr>
          <w:p w:rsidR="00E70A05" w:rsidRPr="00F63092" w:rsidRDefault="00E70A05" w:rsidP="00BD21AD">
            <w:pPr>
              <w:spacing w:after="0" w:line="276" w:lineRule="auto"/>
              <w:jc w:val="center"/>
              <w:rPr>
                <w:rFonts w:ascii="Times New Roman" w:eastAsia="Times New Roman" w:hAnsi="Times New Roman" w:cs="Times New Roman"/>
                <w:b/>
                <w:bCs/>
                <w:noProof w:val="0"/>
                <w:color w:val="000000"/>
                <w:sz w:val="20"/>
                <w:szCs w:val="20"/>
                <w:lang w:eastAsia="bg-BG"/>
              </w:rPr>
            </w:pPr>
            <w:r w:rsidRPr="00F63092">
              <w:rPr>
                <w:rFonts w:ascii="Times New Roman" w:eastAsia="Times New Roman" w:hAnsi="Times New Roman" w:cs="Times New Roman"/>
                <w:b/>
                <w:bCs/>
                <w:noProof w:val="0"/>
                <w:color w:val="000000"/>
                <w:sz w:val="20"/>
                <w:szCs w:val="20"/>
                <w:lang w:eastAsia="bg-BG"/>
              </w:rPr>
              <w:t>№</w:t>
            </w:r>
          </w:p>
        </w:tc>
        <w:tc>
          <w:tcPr>
            <w:tcW w:w="6007" w:type="dxa"/>
            <w:tcBorders>
              <w:top w:val="nil"/>
              <w:left w:val="nil"/>
              <w:bottom w:val="single" w:sz="4" w:space="0" w:color="auto"/>
              <w:right w:val="single" w:sz="4" w:space="0" w:color="auto"/>
            </w:tcBorders>
            <w:shd w:val="clear" w:color="000000" w:fill="F2F2F2"/>
            <w:noWrap/>
            <w:vAlign w:val="center"/>
            <w:hideMark/>
          </w:tcPr>
          <w:p w:rsidR="00E70A05" w:rsidRPr="00F63092" w:rsidRDefault="00E70A05" w:rsidP="00BD21AD">
            <w:pPr>
              <w:spacing w:after="0" w:line="276" w:lineRule="auto"/>
              <w:rPr>
                <w:rFonts w:ascii="Times New Roman" w:eastAsia="Times New Roman" w:hAnsi="Times New Roman" w:cs="Times New Roman"/>
                <w:b/>
                <w:bCs/>
                <w:noProof w:val="0"/>
                <w:sz w:val="20"/>
                <w:szCs w:val="20"/>
                <w:lang w:eastAsia="bg-BG"/>
              </w:rPr>
            </w:pPr>
            <w:r w:rsidRPr="00F63092">
              <w:rPr>
                <w:rFonts w:ascii="Times New Roman" w:eastAsia="Times New Roman" w:hAnsi="Times New Roman" w:cs="Times New Roman"/>
                <w:b/>
                <w:bCs/>
                <w:noProof w:val="0"/>
                <w:sz w:val="20"/>
                <w:szCs w:val="20"/>
                <w:lang w:eastAsia="bg-BG"/>
              </w:rPr>
              <w:t>Одобрени разходи</w:t>
            </w:r>
          </w:p>
        </w:tc>
        <w:tc>
          <w:tcPr>
            <w:tcW w:w="3104" w:type="dxa"/>
            <w:tcBorders>
              <w:top w:val="nil"/>
              <w:left w:val="nil"/>
              <w:bottom w:val="single" w:sz="4" w:space="0" w:color="auto"/>
              <w:right w:val="single" w:sz="4" w:space="0" w:color="auto"/>
            </w:tcBorders>
            <w:shd w:val="clear" w:color="000000" w:fill="F2F2F2"/>
            <w:vAlign w:val="center"/>
            <w:hideMark/>
          </w:tcPr>
          <w:p w:rsidR="00E70A05" w:rsidRPr="00F63092" w:rsidRDefault="00E70A05" w:rsidP="00BD21AD">
            <w:pPr>
              <w:spacing w:after="0" w:line="276" w:lineRule="auto"/>
              <w:rPr>
                <w:rFonts w:ascii="Times New Roman" w:eastAsia="Times New Roman" w:hAnsi="Times New Roman" w:cs="Times New Roman"/>
                <w:b/>
                <w:bCs/>
                <w:noProof w:val="0"/>
                <w:sz w:val="20"/>
                <w:szCs w:val="20"/>
                <w:lang w:eastAsia="bg-BG"/>
              </w:rPr>
            </w:pPr>
            <w:r w:rsidRPr="00F63092">
              <w:rPr>
                <w:rFonts w:ascii="Times New Roman" w:eastAsia="Times New Roman" w:hAnsi="Times New Roman" w:cs="Times New Roman"/>
                <w:b/>
                <w:bCs/>
                <w:noProof w:val="0"/>
                <w:sz w:val="20"/>
                <w:szCs w:val="20"/>
                <w:lang w:eastAsia="bg-BG"/>
              </w:rPr>
              <w:t>Одобрена сума /лв./ без ДДС</w:t>
            </w:r>
          </w:p>
        </w:tc>
      </w:tr>
      <w:tr w:rsidR="00E70A05" w:rsidRPr="00F63092" w:rsidTr="00E70A05">
        <w:trPr>
          <w:trHeight w:val="315"/>
        </w:trPr>
        <w:tc>
          <w:tcPr>
            <w:tcW w:w="382" w:type="dxa"/>
            <w:tcBorders>
              <w:top w:val="nil"/>
              <w:left w:val="single" w:sz="8" w:space="0" w:color="auto"/>
              <w:bottom w:val="single" w:sz="4" w:space="0" w:color="auto"/>
              <w:right w:val="single" w:sz="4" w:space="0" w:color="auto"/>
            </w:tcBorders>
            <w:shd w:val="clear" w:color="auto" w:fill="auto"/>
            <w:noWrap/>
            <w:vAlign w:val="bottom"/>
            <w:hideMark/>
          </w:tcPr>
          <w:p w:rsidR="00E70A05" w:rsidRPr="00F63092" w:rsidRDefault="00E70A05"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1</w:t>
            </w:r>
          </w:p>
        </w:tc>
        <w:tc>
          <w:tcPr>
            <w:tcW w:w="6007" w:type="dxa"/>
            <w:tcBorders>
              <w:top w:val="nil"/>
              <w:left w:val="nil"/>
              <w:bottom w:val="single" w:sz="4" w:space="0" w:color="auto"/>
              <w:right w:val="single" w:sz="4" w:space="0" w:color="auto"/>
            </w:tcBorders>
            <w:shd w:val="clear" w:color="auto" w:fill="auto"/>
            <w:vAlign w:val="bottom"/>
            <w:hideMark/>
          </w:tcPr>
          <w:p w:rsidR="00E70A05" w:rsidRPr="00F63092" w:rsidRDefault="00E70A05" w:rsidP="00BD21AD">
            <w:pPr>
              <w:spacing w:after="0" w:line="276" w:lineRule="auto"/>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 xml:space="preserve">Трактор </w:t>
            </w:r>
          </w:p>
        </w:tc>
        <w:tc>
          <w:tcPr>
            <w:tcW w:w="3104" w:type="dxa"/>
            <w:tcBorders>
              <w:top w:val="nil"/>
              <w:left w:val="nil"/>
              <w:bottom w:val="single" w:sz="4" w:space="0" w:color="auto"/>
              <w:right w:val="single" w:sz="4" w:space="0" w:color="auto"/>
            </w:tcBorders>
            <w:shd w:val="clear" w:color="000000" w:fill="FFFFFF"/>
            <w:vAlign w:val="center"/>
            <w:hideMark/>
          </w:tcPr>
          <w:p w:rsidR="00E70A05" w:rsidRPr="00F63092" w:rsidRDefault="00E70A05"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100 000,00</w:t>
            </w:r>
          </w:p>
        </w:tc>
      </w:tr>
      <w:tr w:rsidR="00E70A05" w:rsidRPr="00F63092" w:rsidTr="00E70A05">
        <w:trPr>
          <w:trHeight w:val="315"/>
        </w:trPr>
        <w:tc>
          <w:tcPr>
            <w:tcW w:w="382" w:type="dxa"/>
            <w:tcBorders>
              <w:top w:val="nil"/>
              <w:left w:val="single" w:sz="8" w:space="0" w:color="auto"/>
              <w:bottom w:val="single" w:sz="4" w:space="0" w:color="auto"/>
              <w:right w:val="single" w:sz="4" w:space="0" w:color="auto"/>
            </w:tcBorders>
            <w:shd w:val="clear" w:color="auto" w:fill="auto"/>
            <w:noWrap/>
            <w:vAlign w:val="bottom"/>
            <w:hideMark/>
          </w:tcPr>
          <w:p w:rsidR="00E70A05" w:rsidRPr="00F63092" w:rsidRDefault="00E70A05"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2</w:t>
            </w:r>
          </w:p>
        </w:tc>
        <w:tc>
          <w:tcPr>
            <w:tcW w:w="6007" w:type="dxa"/>
            <w:tcBorders>
              <w:top w:val="nil"/>
              <w:left w:val="nil"/>
              <w:bottom w:val="single" w:sz="4" w:space="0" w:color="auto"/>
              <w:right w:val="single" w:sz="4" w:space="0" w:color="auto"/>
            </w:tcBorders>
            <w:shd w:val="clear" w:color="auto" w:fill="auto"/>
            <w:noWrap/>
            <w:vAlign w:val="bottom"/>
            <w:hideMark/>
          </w:tcPr>
          <w:p w:rsidR="00E70A05" w:rsidRPr="00F63092" w:rsidRDefault="00E70A05" w:rsidP="00BD21AD">
            <w:pPr>
              <w:spacing w:after="0" w:line="276" w:lineRule="auto"/>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Челен товарач</w:t>
            </w:r>
          </w:p>
        </w:tc>
        <w:tc>
          <w:tcPr>
            <w:tcW w:w="3104" w:type="dxa"/>
            <w:tcBorders>
              <w:top w:val="nil"/>
              <w:left w:val="nil"/>
              <w:bottom w:val="single" w:sz="4" w:space="0" w:color="auto"/>
              <w:right w:val="single" w:sz="4" w:space="0" w:color="auto"/>
            </w:tcBorders>
            <w:shd w:val="clear" w:color="000000" w:fill="FFFFFF"/>
            <w:vAlign w:val="center"/>
            <w:hideMark/>
          </w:tcPr>
          <w:p w:rsidR="00E70A05" w:rsidRPr="00F63092" w:rsidRDefault="00E70A05"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20 000,00</w:t>
            </w:r>
          </w:p>
        </w:tc>
      </w:tr>
      <w:tr w:rsidR="00E70A05" w:rsidRPr="00F63092" w:rsidTr="00E70A05">
        <w:trPr>
          <w:trHeight w:val="315"/>
        </w:trPr>
        <w:tc>
          <w:tcPr>
            <w:tcW w:w="382" w:type="dxa"/>
            <w:tcBorders>
              <w:top w:val="nil"/>
              <w:left w:val="single" w:sz="8" w:space="0" w:color="auto"/>
              <w:bottom w:val="single" w:sz="4" w:space="0" w:color="auto"/>
              <w:right w:val="single" w:sz="4" w:space="0" w:color="auto"/>
            </w:tcBorders>
            <w:shd w:val="clear" w:color="auto" w:fill="auto"/>
            <w:noWrap/>
            <w:vAlign w:val="bottom"/>
            <w:hideMark/>
          </w:tcPr>
          <w:p w:rsidR="00E70A05" w:rsidRPr="00F63092" w:rsidRDefault="00E70A05"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3</w:t>
            </w:r>
          </w:p>
        </w:tc>
        <w:tc>
          <w:tcPr>
            <w:tcW w:w="6007" w:type="dxa"/>
            <w:tcBorders>
              <w:top w:val="nil"/>
              <w:left w:val="nil"/>
              <w:bottom w:val="single" w:sz="4" w:space="0" w:color="auto"/>
              <w:right w:val="single" w:sz="4" w:space="0" w:color="auto"/>
            </w:tcBorders>
            <w:shd w:val="clear" w:color="auto" w:fill="auto"/>
            <w:noWrap/>
            <w:vAlign w:val="bottom"/>
            <w:hideMark/>
          </w:tcPr>
          <w:p w:rsidR="00E70A05" w:rsidRPr="00F63092" w:rsidRDefault="00E70A05" w:rsidP="00BD21AD">
            <w:pPr>
              <w:spacing w:after="0" w:line="276" w:lineRule="auto"/>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 xml:space="preserve">Плуг </w:t>
            </w:r>
          </w:p>
        </w:tc>
        <w:tc>
          <w:tcPr>
            <w:tcW w:w="3104" w:type="dxa"/>
            <w:tcBorders>
              <w:top w:val="nil"/>
              <w:left w:val="nil"/>
              <w:bottom w:val="single" w:sz="4" w:space="0" w:color="auto"/>
              <w:right w:val="single" w:sz="4" w:space="0" w:color="auto"/>
            </w:tcBorders>
            <w:shd w:val="clear" w:color="000000" w:fill="FFFFFF"/>
            <w:vAlign w:val="center"/>
            <w:hideMark/>
          </w:tcPr>
          <w:p w:rsidR="00E70A05" w:rsidRPr="00F63092" w:rsidRDefault="00E70A05" w:rsidP="00BD21AD">
            <w:pPr>
              <w:spacing w:after="0" w:line="276" w:lineRule="auto"/>
              <w:jc w:val="center"/>
              <w:rPr>
                <w:rFonts w:ascii="Times New Roman" w:eastAsia="Times New Roman" w:hAnsi="Times New Roman" w:cs="Times New Roman"/>
                <w:noProof w:val="0"/>
                <w:color w:val="FF0000"/>
                <w:sz w:val="20"/>
                <w:szCs w:val="20"/>
                <w:lang w:eastAsia="bg-BG"/>
              </w:rPr>
            </w:pPr>
            <w:r w:rsidRPr="00F63092">
              <w:rPr>
                <w:rFonts w:ascii="Times New Roman" w:eastAsia="Times New Roman" w:hAnsi="Times New Roman" w:cs="Times New Roman"/>
                <w:noProof w:val="0"/>
                <w:color w:val="FF0000"/>
                <w:sz w:val="20"/>
                <w:szCs w:val="20"/>
                <w:lang w:eastAsia="bg-BG"/>
              </w:rPr>
              <w:t>7 000,00</w:t>
            </w:r>
          </w:p>
        </w:tc>
      </w:tr>
      <w:tr w:rsidR="00E70A05" w:rsidRPr="00F63092" w:rsidTr="00E70A05">
        <w:trPr>
          <w:trHeight w:val="315"/>
        </w:trPr>
        <w:tc>
          <w:tcPr>
            <w:tcW w:w="382" w:type="dxa"/>
            <w:tcBorders>
              <w:top w:val="nil"/>
              <w:left w:val="single" w:sz="8" w:space="0" w:color="auto"/>
              <w:bottom w:val="single" w:sz="4" w:space="0" w:color="auto"/>
              <w:right w:val="single" w:sz="4" w:space="0" w:color="auto"/>
            </w:tcBorders>
            <w:shd w:val="clear" w:color="auto" w:fill="auto"/>
            <w:noWrap/>
            <w:vAlign w:val="bottom"/>
            <w:hideMark/>
          </w:tcPr>
          <w:p w:rsidR="00E70A05" w:rsidRPr="00F63092" w:rsidRDefault="00E70A05" w:rsidP="00BD21AD">
            <w:pPr>
              <w:spacing w:after="0" w:line="276" w:lineRule="auto"/>
              <w:jc w:val="center"/>
              <w:rPr>
                <w:rFonts w:ascii="Times New Roman" w:eastAsia="Times New Roman" w:hAnsi="Times New Roman" w:cs="Times New Roman"/>
                <w:noProof w:val="0"/>
                <w:color w:val="00B050"/>
                <w:sz w:val="20"/>
                <w:szCs w:val="20"/>
                <w:lang w:eastAsia="bg-BG"/>
              </w:rPr>
            </w:pPr>
            <w:r w:rsidRPr="00F63092">
              <w:rPr>
                <w:rFonts w:ascii="Times New Roman" w:eastAsia="Times New Roman" w:hAnsi="Times New Roman" w:cs="Times New Roman"/>
                <w:noProof w:val="0"/>
                <w:color w:val="00B050"/>
                <w:sz w:val="20"/>
                <w:szCs w:val="20"/>
                <w:lang w:eastAsia="bg-BG"/>
              </w:rPr>
              <w:t>4</w:t>
            </w:r>
          </w:p>
        </w:tc>
        <w:tc>
          <w:tcPr>
            <w:tcW w:w="6007" w:type="dxa"/>
            <w:tcBorders>
              <w:top w:val="nil"/>
              <w:left w:val="nil"/>
              <w:bottom w:val="single" w:sz="4" w:space="0" w:color="auto"/>
              <w:right w:val="single" w:sz="4" w:space="0" w:color="auto"/>
            </w:tcBorders>
            <w:shd w:val="clear" w:color="auto" w:fill="auto"/>
            <w:noWrap/>
            <w:vAlign w:val="bottom"/>
            <w:hideMark/>
          </w:tcPr>
          <w:p w:rsidR="00E70A05" w:rsidRPr="00F63092" w:rsidRDefault="00E70A05" w:rsidP="00BD21AD">
            <w:pPr>
              <w:spacing w:after="0" w:line="276" w:lineRule="auto"/>
              <w:rPr>
                <w:rFonts w:ascii="Times New Roman" w:eastAsia="Times New Roman" w:hAnsi="Times New Roman" w:cs="Times New Roman"/>
                <w:noProof w:val="0"/>
                <w:color w:val="00B050"/>
                <w:sz w:val="20"/>
                <w:szCs w:val="20"/>
                <w:lang w:eastAsia="bg-BG"/>
              </w:rPr>
            </w:pPr>
            <w:r w:rsidRPr="00F63092">
              <w:rPr>
                <w:rFonts w:ascii="Times New Roman" w:eastAsia="Times New Roman" w:hAnsi="Times New Roman" w:cs="Times New Roman"/>
                <w:noProof w:val="0"/>
                <w:color w:val="00B050"/>
                <w:sz w:val="20"/>
                <w:szCs w:val="20"/>
                <w:lang w:eastAsia="bg-BG"/>
              </w:rPr>
              <w:t xml:space="preserve">Създаване на трайни </w:t>
            </w:r>
            <w:r w:rsidR="00A71730" w:rsidRPr="00F63092">
              <w:rPr>
                <w:rFonts w:ascii="Times New Roman" w:eastAsia="Times New Roman" w:hAnsi="Times New Roman" w:cs="Times New Roman"/>
                <w:noProof w:val="0"/>
                <w:color w:val="00B050"/>
                <w:sz w:val="20"/>
                <w:szCs w:val="20"/>
                <w:lang w:eastAsia="bg-BG"/>
              </w:rPr>
              <w:t>насаждения</w:t>
            </w:r>
          </w:p>
        </w:tc>
        <w:tc>
          <w:tcPr>
            <w:tcW w:w="3104" w:type="dxa"/>
            <w:tcBorders>
              <w:top w:val="nil"/>
              <w:left w:val="nil"/>
              <w:bottom w:val="single" w:sz="4" w:space="0" w:color="auto"/>
              <w:right w:val="single" w:sz="4" w:space="0" w:color="auto"/>
            </w:tcBorders>
            <w:shd w:val="clear" w:color="000000" w:fill="FFFFFF"/>
            <w:vAlign w:val="center"/>
            <w:hideMark/>
          </w:tcPr>
          <w:p w:rsidR="00E70A05" w:rsidRPr="00F63092" w:rsidRDefault="00E70A05" w:rsidP="00BD21AD">
            <w:pPr>
              <w:spacing w:after="0" w:line="276" w:lineRule="auto"/>
              <w:jc w:val="center"/>
              <w:rPr>
                <w:rFonts w:ascii="Times New Roman" w:eastAsia="Times New Roman" w:hAnsi="Times New Roman" w:cs="Times New Roman"/>
                <w:noProof w:val="0"/>
                <w:color w:val="00B050"/>
                <w:sz w:val="20"/>
                <w:szCs w:val="20"/>
                <w:lang w:eastAsia="bg-BG"/>
              </w:rPr>
            </w:pPr>
            <w:r w:rsidRPr="00F63092">
              <w:rPr>
                <w:rFonts w:ascii="Times New Roman" w:eastAsia="Times New Roman" w:hAnsi="Times New Roman" w:cs="Times New Roman"/>
                <w:noProof w:val="0"/>
                <w:color w:val="00B050"/>
                <w:sz w:val="20"/>
                <w:szCs w:val="20"/>
                <w:lang w:eastAsia="bg-BG"/>
              </w:rPr>
              <w:t>32 000,00</w:t>
            </w:r>
          </w:p>
        </w:tc>
      </w:tr>
      <w:tr w:rsidR="00E70A05" w:rsidRPr="00F63092" w:rsidTr="007327A7">
        <w:trPr>
          <w:trHeight w:val="315"/>
        </w:trPr>
        <w:tc>
          <w:tcPr>
            <w:tcW w:w="382" w:type="dxa"/>
            <w:tcBorders>
              <w:top w:val="nil"/>
              <w:left w:val="nil"/>
              <w:bottom w:val="single" w:sz="4" w:space="0" w:color="auto"/>
              <w:right w:val="nil"/>
            </w:tcBorders>
            <w:shd w:val="clear" w:color="auto" w:fill="auto"/>
            <w:noWrap/>
            <w:vAlign w:val="bottom"/>
            <w:hideMark/>
          </w:tcPr>
          <w:p w:rsidR="00E70A05" w:rsidRPr="00F63092" w:rsidRDefault="00E70A05" w:rsidP="00BD21AD">
            <w:pPr>
              <w:spacing w:after="0" w:line="276" w:lineRule="auto"/>
              <w:jc w:val="center"/>
              <w:rPr>
                <w:rFonts w:ascii="Times New Roman" w:eastAsia="Times New Roman" w:hAnsi="Times New Roman" w:cs="Times New Roman"/>
                <w:noProof w:val="0"/>
                <w:color w:val="FF0000"/>
                <w:sz w:val="20"/>
                <w:szCs w:val="20"/>
                <w:lang w:eastAsia="bg-BG"/>
              </w:rPr>
            </w:pPr>
          </w:p>
        </w:tc>
        <w:tc>
          <w:tcPr>
            <w:tcW w:w="6007" w:type="dxa"/>
            <w:tcBorders>
              <w:top w:val="nil"/>
              <w:left w:val="nil"/>
              <w:bottom w:val="single" w:sz="4" w:space="0" w:color="auto"/>
              <w:right w:val="nil"/>
            </w:tcBorders>
            <w:shd w:val="clear" w:color="auto" w:fill="auto"/>
            <w:noWrap/>
            <w:vAlign w:val="bottom"/>
            <w:hideMark/>
          </w:tcPr>
          <w:p w:rsidR="00E70A05" w:rsidRPr="00F63092" w:rsidRDefault="00E70A05" w:rsidP="00BD21AD">
            <w:pPr>
              <w:spacing w:after="0" w:line="276" w:lineRule="auto"/>
              <w:rPr>
                <w:rFonts w:ascii="Times New Roman" w:eastAsia="Times New Roman" w:hAnsi="Times New Roman" w:cs="Times New Roman"/>
                <w:noProof w:val="0"/>
                <w:sz w:val="20"/>
                <w:szCs w:val="20"/>
                <w:lang w:eastAsia="bg-BG"/>
              </w:rPr>
            </w:pPr>
          </w:p>
        </w:tc>
        <w:tc>
          <w:tcPr>
            <w:tcW w:w="3104" w:type="dxa"/>
            <w:tcBorders>
              <w:top w:val="nil"/>
              <w:left w:val="nil"/>
              <w:bottom w:val="single" w:sz="4" w:space="0" w:color="auto"/>
              <w:right w:val="nil"/>
            </w:tcBorders>
            <w:shd w:val="clear" w:color="auto" w:fill="auto"/>
            <w:noWrap/>
            <w:vAlign w:val="bottom"/>
            <w:hideMark/>
          </w:tcPr>
          <w:p w:rsidR="00E70A05" w:rsidRPr="00F63092" w:rsidRDefault="00E70A05" w:rsidP="00BD21AD">
            <w:pPr>
              <w:spacing w:after="0" w:line="276" w:lineRule="auto"/>
              <w:rPr>
                <w:rFonts w:ascii="Times New Roman" w:eastAsia="Times New Roman" w:hAnsi="Times New Roman" w:cs="Times New Roman"/>
                <w:noProof w:val="0"/>
                <w:sz w:val="20"/>
                <w:szCs w:val="20"/>
                <w:lang w:eastAsia="bg-BG"/>
              </w:rPr>
            </w:pPr>
          </w:p>
        </w:tc>
      </w:tr>
      <w:tr w:rsidR="00E70A05" w:rsidRPr="00F63092" w:rsidTr="00E70A05">
        <w:trPr>
          <w:trHeight w:val="315"/>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A05" w:rsidRPr="00F63092" w:rsidRDefault="00E70A05" w:rsidP="00BD21AD">
            <w:pPr>
              <w:spacing w:after="0" w:line="276" w:lineRule="auto"/>
              <w:jc w:val="center"/>
              <w:rPr>
                <w:rFonts w:ascii="Times New Roman" w:eastAsia="Times New Roman" w:hAnsi="Times New Roman" w:cs="Times New Roman"/>
                <w:b/>
                <w:bCs/>
                <w:noProof w:val="0"/>
                <w:color w:val="FF0000"/>
                <w:sz w:val="20"/>
                <w:szCs w:val="20"/>
                <w:lang w:eastAsia="bg-BG"/>
              </w:rPr>
            </w:pPr>
            <w:r w:rsidRPr="00F63092">
              <w:rPr>
                <w:rFonts w:ascii="Times New Roman" w:eastAsia="Times New Roman" w:hAnsi="Times New Roman" w:cs="Times New Roman"/>
                <w:b/>
                <w:bCs/>
                <w:noProof w:val="0"/>
                <w:color w:val="FF0000"/>
                <w:sz w:val="20"/>
                <w:szCs w:val="20"/>
                <w:lang w:eastAsia="bg-BG"/>
              </w:rPr>
              <w:t>1</w:t>
            </w:r>
          </w:p>
        </w:tc>
        <w:tc>
          <w:tcPr>
            <w:tcW w:w="6007" w:type="dxa"/>
            <w:tcBorders>
              <w:top w:val="single" w:sz="4" w:space="0" w:color="auto"/>
              <w:left w:val="nil"/>
              <w:bottom w:val="single" w:sz="4" w:space="0" w:color="auto"/>
              <w:right w:val="single" w:sz="4" w:space="0" w:color="auto"/>
            </w:tcBorders>
            <w:shd w:val="clear" w:color="auto" w:fill="auto"/>
            <w:noWrap/>
            <w:vAlign w:val="bottom"/>
            <w:hideMark/>
          </w:tcPr>
          <w:p w:rsidR="00E70A05" w:rsidRPr="00F63092" w:rsidRDefault="00E70A05" w:rsidP="00BD21AD">
            <w:pPr>
              <w:spacing w:after="0" w:line="276" w:lineRule="auto"/>
              <w:rPr>
                <w:rFonts w:ascii="Times New Roman" w:eastAsia="Times New Roman" w:hAnsi="Times New Roman" w:cs="Times New Roman"/>
                <w:b/>
                <w:bCs/>
                <w:noProof w:val="0"/>
                <w:color w:val="FF0000"/>
                <w:sz w:val="20"/>
                <w:szCs w:val="20"/>
                <w:lang w:eastAsia="bg-BG"/>
              </w:rPr>
            </w:pPr>
            <w:r w:rsidRPr="00F63092">
              <w:rPr>
                <w:rFonts w:ascii="Times New Roman" w:eastAsia="Times New Roman" w:hAnsi="Times New Roman" w:cs="Times New Roman"/>
                <w:b/>
                <w:bCs/>
                <w:noProof w:val="0"/>
                <w:color w:val="FF0000"/>
                <w:sz w:val="20"/>
                <w:szCs w:val="20"/>
                <w:lang w:eastAsia="bg-BG"/>
              </w:rPr>
              <w:t>Одобрени разходи за доставка</w:t>
            </w:r>
          </w:p>
        </w:tc>
        <w:tc>
          <w:tcPr>
            <w:tcW w:w="3104" w:type="dxa"/>
            <w:tcBorders>
              <w:top w:val="single" w:sz="4" w:space="0" w:color="auto"/>
              <w:left w:val="nil"/>
              <w:bottom w:val="single" w:sz="4" w:space="0" w:color="auto"/>
              <w:right w:val="single" w:sz="4" w:space="0" w:color="auto"/>
            </w:tcBorders>
            <w:shd w:val="clear" w:color="auto" w:fill="auto"/>
            <w:noWrap/>
            <w:vAlign w:val="bottom"/>
            <w:hideMark/>
          </w:tcPr>
          <w:p w:rsidR="00E70A05" w:rsidRPr="00F63092" w:rsidRDefault="00E70A05" w:rsidP="00BD21AD">
            <w:pPr>
              <w:spacing w:after="0" w:line="276" w:lineRule="auto"/>
              <w:jc w:val="center"/>
              <w:rPr>
                <w:rFonts w:ascii="Times New Roman" w:eastAsia="Times New Roman" w:hAnsi="Times New Roman" w:cs="Times New Roman"/>
                <w:b/>
                <w:bCs/>
                <w:noProof w:val="0"/>
                <w:color w:val="FF0000"/>
                <w:sz w:val="20"/>
                <w:szCs w:val="20"/>
                <w:lang w:eastAsia="bg-BG"/>
              </w:rPr>
            </w:pPr>
            <w:r w:rsidRPr="00F63092">
              <w:rPr>
                <w:rFonts w:ascii="Times New Roman" w:eastAsia="Times New Roman" w:hAnsi="Times New Roman" w:cs="Times New Roman"/>
                <w:b/>
                <w:bCs/>
                <w:noProof w:val="0"/>
                <w:color w:val="FF0000"/>
                <w:sz w:val="20"/>
                <w:szCs w:val="20"/>
                <w:lang w:eastAsia="bg-BG"/>
              </w:rPr>
              <w:t>127 000,00</w:t>
            </w:r>
          </w:p>
        </w:tc>
      </w:tr>
      <w:tr w:rsidR="00E70A05" w:rsidRPr="00F63092" w:rsidTr="007327A7">
        <w:trPr>
          <w:trHeight w:val="63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0A05" w:rsidRPr="00F63092" w:rsidRDefault="00E70A05" w:rsidP="00BD21AD">
            <w:pPr>
              <w:spacing w:after="0" w:line="276" w:lineRule="auto"/>
              <w:jc w:val="center"/>
              <w:rPr>
                <w:rFonts w:ascii="Times New Roman" w:eastAsia="Times New Roman" w:hAnsi="Times New Roman" w:cs="Times New Roman"/>
                <w:b/>
                <w:bCs/>
                <w:noProof w:val="0"/>
                <w:color w:val="00B050"/>
                <w:sz w:val="20"/>
                <w:szCs w:val="20"/>
                <w:lang w:eastAsia="bg-BG"/>
              </w:rPr>
            </w:pPr>
            <w:r w:rsidRPr="00F63092">
              <w:rPr>
                <w:rFonts w:ascii="Times New Roman" w:eastAsia="Times New Roman" w:hAnsi="Times New Roman" w:cs="Times New Roman"/>
                <w:b/>
                <w:bCs/>
                <w:noProof w:val="0"/>
                <w:color w:val="00B050"/>
                <w:sz w:val="20"/>
                <w:szCs w:val="20"/>
                <w:lang w:eastAsia="bg-BG"/>
              </w:rPr>
              <w:lastRenderedPageBreak/>
              <w:t>2</w:t>
            </w:r>
          </w:p>
        </w:tc>
        <w:tc>
          <w:tcPr>
            <w:tcW w:w="6007" w:type="dxa"/>
            <w:tcBorders>
              <w:top w:val="single" w:sz="4" w:space="0" w:color="auto"/>
              <w:left w:val="nil"/>
              <w:bottom w:val="single" w:sz="4" w:space="0" w:color="auto"/>
              <w:right w:val="single" w:sz="4" w:space="0" w:color="auto"/>
            </w:tcBorders>
            <w:shd w:val="clear" w:color="auto" w:fill="auto"/>
            <w:vAlign w:val="bottom"/>
            <w:hideMark/>
          </w:tcPr>
          <w:p w:rsidR="00E70A05" w:rsidRPr="00F63092" w:rsidRDefault="00E70A05" w:rsidP="00BD21AD">
            <w:pPr>
              <w:spacing w:after="0" w:line="276" w:lineRule="auto"/>
              <w:rPr>
                <w:rFonts w:ascii="Times New Roman" w:eastAsia="Times New Roman" w:hAnsi="Times New Roman" w:cs="Times New Roman"/>
                <w:b/>
                <w:bCs/>
                <w:noProof w:val="0"/>
                <w:color w:val="00B050"/>
                <w:sz w:val="20"/>
                <w:szCs w:val="20"/>
                <w:lang w:eastAsia="bg-BG"/>
              </w:rPr>
            </w:pPr>
            <w:r w:rsidRPr="00F63092">
              <w:rPr>
                <w:rFonts w:ascii="Times New Roman" w:eastAsia="Times New Roman" w:hAnsi="Times New Roman" w:cs="Times New Roman"/>
                <w:b/>
                <w:bCs/>
                <w:noProof w:val="0"/>
                <w:color w:val="00B050"/>
                <w:sz w:val="20"/>
                <w:szCs w:val="20"/>
                <w:lang w:eastAsia="bg-BG"/>
              </w:rPr>
              <w:t xml:space="preserve">Одобрени разходи за услуга /създаване на трайни </w:t>
            </w:r>
            <w:r w:rsidR="00A71730" w:rsidRPr="00F63092">
              <w:rPr>
                <w:rFonts w:ascii="Times New Roman" w:eastAsia="Times New Roman" w:hAnsi="Times New Roman" w:cs="Times New Roman"/>
                <w:b/>
                <w:bCs/>
                <w:noProof w:val="0"/>
                <w:color w:val="00B050"/>
                <w:sz w:val="20"/>
                <w:szCs w:val="20"/>
                <w:lang w:eastAsia="bg-BG"/>
              </w:rPr>
              <w:t>насаждения</w:t>
            </w:r>
            <w:r w:rsidRPr="00F63092">
              <w:rPr>
                <w:rFonts w:ascii="Times New Roman" w:eastAsia="Times New Roman" w:hAnsi="Times New Roman" w:cs="Times New Roman"/>
                <w:b/>
                <w:bCs/>
                <w:noProof w:val="0"/>
                <w:color w:val="00B050"/>
                <w:sz w:val="20"/>
                <w:szCs w:val="20"/>
                <w:lang w:eastAsia="bg-BG"/>
              </w:rPr>
              <w:t>/</w:t>
            </w:r>
          </w:p>
        </w:tc>
        <w:tc>
          <w:tcPr>
            <w:tcW w:w="3104" w:type="dxa"/>
            <w:tcBorders>
              <w:top w:val="single" w:sz="4" w:space="0" w:color="auto"/>
              <w:left w:val="nil"/>
              <w:bottom w:val="single" w:sz="4" w:space="0" w:color="auto"/>
              <w:right w:val="single" w:sz="4" w:space="0" w:color="auto"/>
            </w:tcBorders>
            <w:shd w:val="clear" w:color="auto" w:fill="auto"/>
            <w:noWrap/>
            <w:vAlign w:val="bottom"/>
            <w:hideMark/>
          </w:tcPr>
          <w:p w:rsidR="00E70A05" w:rsidRPr="00F63092" w:rsidRDefault="00E70A05" w:rsidP="00BD21AD">
            <w:pPr>
              <w:spacing w:after="0" w:line="276" w:lineRule="auto"/>
              <w:jc w:val="center"/>
              <w:rPr>
                <w:rFonts w:ascii="Times New Roman" w:eastAsia="Times New Roman" w:hAnsi="Times New Roman" w:cs="Times New Roman"/>
                <w:b/>
                <w:bCs/>
                <w:noProof w:val="0"/>
                <w:color w:val="00B050"/>
                <w:sz w:val="20"/>
                <w:szCs w:val="20"/>
                <w:lang w:eastAsia="bg-BG"/>
              </w:rPr>
            </w:pPr>
            <w:r w:rsidRPr="00F63092">
              <w:rPr>
                <w:rFonts w:ascii="Times New Roman" w:eastAsia="Times New Roman" w:hAnsi="Times New Roman" w:cs="Times New Roman"/>
                <w:b/>
                <w:bCs/>
                <w:noProof w:val="0"/>
                <w:color w:val="00B050"/>
                <w:sz w:val="20"/>
                <w:szCs w:val="20"/>
                <w:lang w:eastAsia="bg-BG"/>
              </w:rPr>
              <w:t>32 000,00</w:t>
            </w:r>
          </w:p>
        </w:tc>
      </w:tr>
      <w:tr w:rsidR="007327A7" w:rsidRPr="00F63092" w:rsidTr="007327A7">
        <w:trPr>
          <w:trHeight w:val="630"/>
        </w:trPr>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7A7" w:rsidRPr="00F63092" w:rsidRDefault="007327A7" w:rsidP="007327A7">
            <w:pPr>
              <w:spacing w:after="0" w:line="276" w:lineRule="auto"/>
              <w:jc w:val="center"/>
              <w:rPr>
                <w:rFonts w:ascii="Times New Roman" w:eastAsia="Times New Roman" w:hAnsi="Times New Roman" w:cs="Times New Roman"/>
                <w:b/>
                <w:bCs/>
                <w:noProof w:val="0"/>
                <w:color w:val="FF0000"/>
                <w:sz w:val="20"/>
                <w:szCs w:val="20"/>
                <w:lang w:eastAsia="bg-BG"/>
              </w:rPr>
            </w:pPr>
            <w:r w:rsidRPr="00F63092">
              <w:rPr>
                <w:rFonts w:ascii="Times New Roman" w:eastAsia="Times New Roman" w:hAnsi="Times New Roman" w:cs="Times New Roman"/>
                <w:b/>
                <w:bCs/>
                <w:noProof w:val="0"/>
                <w:color w:val="FF0000"/>
                <w:sz w:val="20"/>
                <w:szCs w:val="20"/>
                <w:lang w:eastAsia="bg-BG"/>
              </w:rPr>
              <w:t>*</w:t>
            </w:r>
          </w:p>
        </w:tc>
        <w:tc>
          <w:tcPr>
            <w:tcW w:w="6007" w:type="dxa"/>
            <w:tcBorders>
              <w:top w:val="single" w:sz="4" w:space="0" w:color="auto"/>
              <w:left w:val="nil"/>
              <w:bottom w:val="single" w:sz="4" w:space="0" w:color="auto"/>
              <w:right w:val="single" w:sz="4" w:space="0" w:color="auto"/>
            </w:tcBorders>
            <w:shd w:val="clear" w:color="auto" w:fill="auto"/>
            <w:vAlign w:val="bottom"/>
          </w:tcPr>
          <w:p w:rsidR="007327A7" w:rsidRPr="00F63092" w:rsidRDefault="007327A7" w:rsidP="007327A7">
            <w:pPr>
              <w:spacing w:after="0" w:line="276" w:lineRule="auto"/>
              <w:rPr>
                <w:rFonts w:ascii="Times New Roman" w:eastAsia="Times New Roman" w:hAnsi="Times New Roman" w:cs="Times New Roman"/>
                <w:b/>
                <w:bCs/>
                <w:noProof w:val="0"/>
                <w:color w:val="FF0000"/>
                <w:sz w:val="20"/>
                <w:szCs w:val="20"/>
                <w:lang w:eastAsia="bg-BG"/>
              </w:rPr>
            </w:pPr>
            <w:r w:rsidRPr="00F63092">
              <w:rPr>
                <w:rFonts w:ascii="Times New Roman" w:eastAsia="Times New Roman" w:hAnsi="Times New Roman" w:cs="Times New Roman"/>
                <w:b/>
                <w:bCs/>
                <w:noProof w:val="0"/>
                <w:color w:val="FF0000"/>
                <w:sz w:val="20"/>
                <w:szCs w:val="20"/>
                <w:lang w:eastAsia="bg-BG"/>
              </w:rPr>
              <w:t>Одобрена субсидия:</w:t>
            </w:r>
          </w:p>
        </w:tc>
        <w:tc>
          <w:tcPr>
            <w:tcW w:w="3104" w:type="dxa"/>
            <w:tcBorders>
              <w:top w:val="single" w:sz="4" w:space="0" w:color="auto"/>
              <w:left w:val="nil"/>
              <w:bottom w:val="single" w:sz="4" w:space="0" w:color="auto"/>
              <w:right w:val="single" w:sz="4" w:space="0" w:color="auto"/>
            </w:tcBorders>
            <w:shd w:val="clear" w:color="auto" w:fill="auto"/>
            <w:noWrap/>
            <w:vAlign w:val="bottom"/>
          </w:tcPr>
          <w:p w:rsidR="007327A7" w:rsidRPr="00F63092" w:rsidRDefault="007327A7" w:rsidP="007327A7">
            <w:pPr>
              <w:spacing w:after="0" w:line="276" w:lineRule="auto"/>
              <w:jc w:val="center"/>
              <w:rPr>
                <w:rFonts w:ascii="Times New Roman" w:eastAsia="Times New Roman" w:hAnsi="Times New Roman" w:cs="Times New Roman"/>
                <w:b/>
                <w:bCs/>
                <w:noProof w:val="0"/>
                <w:color w:val="FF0000"/>
                <w:sz w:val="20"/>
                <w:szCs w:val="20"/>
                <w:lang w:eastAsia="bg-BG"/>
              </w:rPr>
            </w:pPr>
            <w:r w:rsidRPr="00F63092">
              <w:rPr>
                <w:rFonts w:ascii="Times New Roman" w:eastAsia="Times New Roman" w:hAnsi="Times New Roman" w:cs="Times New Roman"/>
                <w:b/>
                <w:bCs/>
                <w:noProof w:val="0"/>
                <w:color w:val="FF0000"/>
                <w:sz w:val="20"/>
                <w:szCs w:val="20"/>
                <w:lang w:eastAsia="bg-BG"/>
              </w:rPr>
              <w:t>над 50%</w:t>
            </w:r>
          </w:p>
        </w:tc>
      </w:tr>
    </w:tbl>
    <w:p w:rsidR="00961C91" w:rsidRPr="00BD21AD" w:rsidRDefault="00961C91" w:rsidP="00BD21AD">
      <w:pPr>
        <w:tabs>
          <w:tab w:val="left" w:pos="851"/>
        </w:tabs>
        <w:spacing w:line="276" w:lineRule="auto"/>
        <w:jc w:val="both"/>
        <w:rPr>
          <w:rFonts w:ascii="Times New Roman" w:hAnsi="Times New Roman" w:cs="Times New Roman"/>
          <w:b/>
          <w:sz w:val="24"/>
          <w:szCs w:val="24"/>
          <w:u w:val="single"/>
        </w:rPr>
      </w:pPr>
    </w:p>
    <w:p w:rsidR="00E70A05" w:rsidRPr="00BD21AD" w:rsidRDefault="00E70A05" w:rsidP="00BD21AD">
      <w:pPr>
        <w:tabs>
          <w:tab w:val="left" w:pos="851"/>
        </w:tabs>
        <w:spacing w:line="276" w:lineRule="auto"/>
        <w:jc w:val="both"/>
        <w:rPr>
          <w:rFonts w:ascii="Times New Roman" w:hAnsi="Times New Roman" w:cs="Times New Roman"/>
          <w:b/>
          <w:sz w:val="24"/>
          <w:szCs w:val="24"/>
          <w:u w:val="single"/>
        </w:rPr>
      </w:pPr>
      <w:r w:rsidRPr="00BD21AD">
        <w:rPr>
          <w:rFonts w:ascii="Times New Roman" w:hAnsi="Times New Roman" w:cs="Times New Roman"/>
          <w:b/>
          <w:sz w:val="24"/>
          <w:szCs w:val="24"/>
          <w:u w:val="single"/>
        </w:rPr>
        <w:t xml:space="preserve">Заключение: </w:t>
      </w:r>
    </w:p>
    <w:p w:rsidR="00A77E07" w:rsidRDefault="00E70A05" w:rsidP="00BD21AD">
      <w:pPr>
        <w:tabs>
          <w:tab w:val="left" w:pos="851"/>
        </w:tabs>
        <w:spacing w:line="276" w:lineRule="auto"/>
        <w:jc w:val="both"/>
        <w:rPr>
          <w:rFonts w:ascii="Times New Roman" w:hAnsi="Times New Roman" w:cs="Times New Roman"/>
          <w:sz w:val="24"/>
          <w:szCs w:val="24"/>
        </w:rPr>
      </w:pPr>
      <w:r w:rsidRPr="00BD21AD">
        <w:rPr>
          <w:rFonts w:ascii="Times New Roman" w:hAnsi="Times New Roman" w:cs="Times New Roman"/>
          <w:sz w:val="24"/>
          <w:szCs w:val="24"/>
        </w:rPr>
        <w:t>В този случай, кандидатът следва да проведе процедура по реда на ПМС № 160 от 2016 г.</w:t>
      </w:r>
      <w:r w:rsidR="00B71A48">
        <w:rPr>
          <w:rFonts w:ascii="Times New Roman" w:hAnsi="Times New Roman" w:cs="Times New Roman"/>
          <w:sz w:val="24"/>
          <w:szCs w:val="24"/>
        </w:rPr>
        <w:t xml:space="preserve"> за всичи одобрени разходи и </w:t>
      </w:r>
      <w:r w:rsidR="002F05DD" w:rsidRPr="00BD21AD">
        <w:rPr>
          <w:rFonts w:ascii="Times New Roman" w:hAnsi="Times New Roman" w:cs="Times New Roman"/>
          <w:sz w:val="24"/>
          <w:szCs w:val="24"/>
        </w:rPr>
        <w:t xml:space="preserve">за тях не се </w:t>
      </w:r>
      <w:r w:rsidR="00CD2F43">
        <w:rPr>
          <w:rFonts w:ascii="Times New Roman" w:hAnsi="Times New Roman" w:cs="Times New Roman"/>
          <w:sz w:val="24"/>
          <w:szCs w:val="24"/>
        </w:rPr>
        <w:t xml:space="preserve">изискват или </w:t>
      </w:r>
      <w:r w:rsidR="002F05DD" w:rsidRPr="00BD21AD">
        <w:rPr>
          <w:rFonts w:ascii="Times New Roman" w:hAnsi="Times New Roman" w:cs="Times New Roman"/>
          <w:sz w:val="24"/>
          <w:szCs w:val="24"/>
        </w:rPr>
        <w:t>обследват представени от кандид</w:t>
      </w:r>
      <w:r w:rsidR="00CD2F43">
        <w:rPr>
          <w:rFonts w:ascii="Times New Roman" w:hAnsi="Times New Roman" w:cs="Times New Roman"/>
          <w:sz w:val="24"/>
          <w:szCs w:val="24"/>
        </w:rPr>
        <w:t>ата договори за доставка/услуга</w:t>
      </w:r>
      <w:r w:rsidR="006219B0">
        <w:rPr>
          <w:rFonts w:ascii="Times New Roman" w:hAnsi="Times New Roman" w:cs="Times New Roman"/>
          <w:sz w:val="24"/>
          <w:szCs w:val="24"/>
        </w:rPr>
        <w:t>.</w:t>
      </w:r>
      <w:r w:rsidR="00CD2F43">
        <w:rPr>
          <w:rFonts w:ascii="Times New Roman" w:hAnsi="Times New Roman" w:cs="Times New Roman"/>
          <w:sz w:val="24"/>
          <w:szCs w:val="24"/>
        </w:rPr>
        <w:t xml:space="preserve"> </w:t>
      </w:r>
      <w:r w:rsidR="00A345E8">
        <w:rPr>
          <w:rFonts w:ascii="Times New Roman" w:hAnsi="Times New Roman" w:cs="Times New Roman"/>
          <w:sz w:val="24"/>
          <w:szCs w:val="24"/>
        </w:rPr>
        <w:t>При това положение в административния договор не се вписва изпълнител, дори и да е представен договор за избор на из</w:t>
      </w:r>
      <w:r w:rsidR="00F33D69">
        <w:rPr>
          <w:rFonts w:ascii="Times New Roman" w:hAnsi="Times New Roman" w:cs="Times New Roman"/>
          <w:sz w:val="24"/>
          <w:szCs w:val="24"/>
        </w:rPr>
        <w:t>пълнител на етап кандидатстване.</w:t>
      </w:r>
    </w:p>
    <w:p w:rsidR="00154471" w:rsidRDefault="00154471" w:rsidP="00A77E07">
      <w:pPr>
        <w:tabs>
          <w:tab w:val="left" w:pos="851"/>
        </w:tabs>
        <w:spacing w:line="276" w:lineRule="auto"/>
        <w:jc w:val="both"/>
        <w:rPr>
          <w:rFonts w:ascii="Times New Roman" w:hAnsi="Times New Roman" w:cs="Times New Roman"/>
          <w:b/>
          <w:sz w:val="24"/>
          <w:szCs w:val="24"/>
        </w:rPr>
      </w:pPr>
    </w:p>
    <w:p w:rsidR="00677C65" w:rsidRDefault="00A77E07" w:rsidP="00A77E07">
      <w:pPr>
        <w:tabs>
          <w:tab w:val="left" w:pos="851"/>
        </w:tabs>
        <w:spacing w:line="276" w:lineRule="auto"/>
        <w:jc w:val="both"/>
        <w:rPr>
          <w:rFonts w:ascii="Times New Roman" w:hAnsi="Times New Roman" w:cs="Times New Roman"/>
          <w:b/>
          <w:sz w:val="24"/>
          <w:szCs w:val="24"/>
        </w:rPr>
      </w:pPr>
      <w:r w:rsidRPr="00A77E07">
        <w:rPr>
          <w:rFonts w:ascii="Times New Roman" w:hAnsi="Times New Roman" w:cs="Times New Roman"/>
          <w:b/>
          <w:sz w:val="24"/>
          <w:szCs w:val="24"/>
        </w:rPr>
        <w:t>ВАЖНО!</w:t>
      </w:r>
      <w:r w:rsidR="00830CB2">
        <w:rPr>
          <w:rFonts w:ascii="Times New Roman" w:hAnsi="Times New Roman" w:cs="Times New Roman"/>
          <w:b/>
          <w:sz w:val="24"/>
          <w:szCs w:val="24"/>
        </w:rPr>
        <w:t xml:space="preserve"> </w:t>
      </w:r>
    </w:p>
    <w:p w:rsidR="00AB5D4A" w:rsidRDefault="00AB5D4A" w:rsidP="00A77E07">
      <w:pPr>
        <w:tabs>
          <w:tab w:val="left" w:pos="851"/>
        </w:tabs>
        <w:spacing w:line="276" w:lineRule="auto"/>
        <w:jc w:val="both"/>
        <w:rPr>
          <w:rFonts w:ascii="Times New Roman" w:hAnsi="Times New Roman" w:cs="Times New Roman"/>
          <w:sz w:val="24"/>
          <w:szCs w:val="24"/>
        </w:rPr>
      </w:pPr>
      <w:r w:rsidRPr="00943035">
        <w:rPr>
          <w:rFonts w:ascii="Times New Roman" w:hAnsi="Times New Roman" w:cs="Times New Roman"/>
          <w:sz w:val="24"/>
          <w:szCs w:val="24"/>
        </w:rPr>
        <w:t xml:space="preserve">1. Кандидатът се задължава да избере изпълнител с </w:t>
      </w:r>
      <w:r w:rsidRPr="00943035">
        <w:rPr>
          <w:rFonts w:ascii="Times New Roman" w:hAnsi="Times New Roman" w:cs="Times New Roman"/>
          <w:b/>
          <w:sz w:val="24"/>
          <w:szCs w:val="24"/>
          <w:u w:val="single"/>
        </w:rPr>
        <w:t>публична покана</w:t>
      </w:r>
      <w:r w:rsidR="00943035">
        <w:rPr>
          <w:rFonts w:ascii="Times New Roman" w:hAnsi="Times New Roman" w:cs="Times New Roman"/>
          <w:sz w:val="24"/>
          <w:szCs w:val="24"/>
        </w:rPr>
        <w:t>, когато одобрените разходи са над праговете, заложени в чл. 50 от ЗУСЕСИФ.</w:t>
      </w:r>
    </w:p>
    <w:p w:rsidR="00830CB2" w:rsidRPr="00943035" w:rsidRDefault="00943035" w:rsidP="00A77E07">
      <w:pPr>
        <w:tabs>
          <w:tab w:val="left" w:pos="851"/>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В случай, че </w:t>
      </w:r>
      <w:r w:rsidR="00F002DD">
        <w:rPr>
          <w:rFonts w:ascii="Times New Roman" w:hAnsi="Times New Roman" w:cs="Times New Roman"/>
          <w:sz w:val="24"/>
          <w:szCs w:val="24"/>
        </w:rPr>
        <w:t xml:space="preserve">всички или част от </w:t>
      </w:r>
      <w:r>
        <w:rPr>
          <w:rFonts w:ascii="Times New Roman" w:hAnsi="Times New Roman" w:cs="Times New Roman"/>
          <w:sz w:val="24"/>
          <w:szCs w:val="24"/>
        </w:rPr>
        <w:t xml:space="preserve">разходите </w:t>
      </w:r>
      <w:r w:rsidRPr="00943035">
        <w:rPr>
          <w:rFonts w:ascii="Times New Roman" w:hAnsi="Times New Roman" w:cs="Times New Roman"/>
          <w:sz w:val="24"/>
          <w:szCs w:val="24"/>
        </w:rPr>
        <w:t xml:space="preserve">са </w:t>
      </w:r>
      <w:r w:rsidR="00525BF3">
        <w:rPr>
          <w:rFonts w:ascii="Times New Roman" w:hAnsi="Times New Roman" w:cs="Times New Roman"/>
          <w:sz w:val="24"/>
          <w:szCs w:val="24"/>
        </w:rPr>
        <w:t xml:space="preserve">с </w:t>
      </w:r>
      <w:r w:rsidR="00677C65" w:rsidRPr="00943035">
        <w:rPr>
          <w:rFonts w:ascii="Times New Roman" w:hAnsi="Times New Roman" w:cs="Times New Roman"/>
          <w:sz w:val="24"/>
          <w:szCs w:val="24"/>
        </w:rPr>
        <w:t>прогнозни стойности под 30 000 лв. или СМР под 50 000 лв. без ДДС</w:t>
      </w:r>
      <w:r w:rsidR="00151550">
        <w:rPr>
          <w:rFonts w:ascii="Times New Roman" w:hAnsi="Times New Roman" w:cs="Times New Roman"/>
          <w:sz w:val="24"/>
          <w:szCs w:val="24"/>
        </w:rPr>
        <w:t>, в нормативната уредба</w:t>
      </w:r>
      <w:r w:rsidRPr="00943035">
        <w:rPr>
          <w:rFonts w:ascii="Times New Roman" w:hAnsi="Times New Roman" w:cs="Times New Roman"/>
          <w:sz w:val="24"/>
          <w:szCs w:val="24"/>
        </w:rPr>
        <w:t xml:space="preserve"> </w:t>
      </w:r>
      <w:r w:rsidR="00F002DD">
        <w:rPr>
          <w:rFonts w:ascii="Times New Roman" w:hAnsi="Times New Roman" w:cs="Times New Roman"/>
          <w:sz w:val="24"/>
          <w:szCs w:val="24"/>
        </w:rPr>
        <w:t>не са</w:t>
      </w:r>
      <w:r w:rsidRPr="00943035">
        <w:rPr>
          <w:rFonts w:ascii="Times New Roman" w:hAnsi="Times New Roman" w:cs="Times New Roman"/>
          <w:sz w:val="24"/>
          <w:szCs w:val="24"/>
        </w:rPr>
        <w:t xml:space="preserve"> регламентира</w:t>
      </w:r>
      <w:r w:rsidR="00F002DD">
        <w:rPr>
          <w:rFonts w:ascii="Times New Roman" w:hAnsi="Times New Roman" w:cs="Times New Roman"/>
          <w:sz w:val="24"/>
          <w:szCs w:val="24"/>
        </w:rPr>
        <w:t>ни специфични правила,</w:t>
      </w:r>
      <w:r w:rsidRPr="00943035">
        <w:rPr>
          <w:rFonts w:ascii="Times New Roman" w:hAnsi="Times New Roman" w:cs="Times New Roman"/>
          <w:sz w:val="24"/>
          <w:szCs w:val="24"/>
        </w:rPr>
        <w:t xml:space="preserve"> т.е. възложителят е в оперативна самостоятелност да сключи договор с доставчик по избран от него метод.</w:t>
      </w:r>
    </w:p>
    <w:p w:rsidR="00A77E07" w:rsidRPr="00BD21AD" w:rsidRDefault="00A77E07" w:rsidP="00BD21AD">
      <w:pPr>
        <w:tabs>
          <w:tab w:val="left" w:pos="851"/>
        </w:tabs>
        <w:spacing w:line="276" w:lineRule="auto"/>
        <w:jc w:val="both"/>
        <w:rPr>
          <w:rFonts w:ascii="Times New Roman" w:hAnsi="Times New Roman" w:cs="Times New Roman"/>
          <w:sz w:val="24"/>
          <w:szCs w:val="24"/>
        </w:rPr>
      </w:pPr>
    </w:p>
    <w:p w:rsidR="00BA0EDD" w:rsidRDefault="00AC32F9" w:rsidP="00BD21AD">
      <w:pPr>
        <w:tabs>
          <w:tab w:val="left" w:pos="851"/>
        </w:tabs>
        <w:spacing w:line="276" w:lineRule="auto"/>
        <w:jc w:val="both"/>
        <w:rPr>
          <w:rFonts w:ascii="Times New Roman" w:hAnsi="Times New Roman" w:cs="Times New Roman"/>
          <w:b/>
          <w:sz w:val="24"/>
          <w:szCs w:val="24"/>
          <w:u w:val="single"/>
        </w:rPr>
      </w:pPr>
      <w:r w:rsidRPr="00BD21AD">
        <w:rPr>
          <w:rFonts w:ascii="Times New Roman" w:hAnsi="Times New Roman" w:cs="Times New Roman"/>
          <w:b/>
          <w:sz w:val="24"/>
          <w:szCs w:val="24"/>
          <w:u w:val="single"/>
        </w:rPr>
        <w:t>6. Важно при изготвяне на административните договори.</w:t>
      </w:r>
    </w:p>
    <w:p w:rsidR="00BA0EDD" w:rsidRDefault="00BA0EDD" w:rsidP="00BD21AD">
      <w:pPr>
        <w:pStyle w:val="BodyText"/>
        <w:tabs>
          <w:tab w:val="center" w:pos="993"/>
        </w:tabs>
        <w:spacing w:line="276" w:lineRule="auto"/>
        <w:rPr>
          <w:rFonts w:cs="Times New Roman"/>
          <w:b/>
          <w:szCs w:val="24"/>
          <w:lang w:val="bg-BG"/>
        </w:rPr>
      </w:pPr>
    </w:p>
    <w:p w:rsidR="00607910" w:rsidRDefault="001369E2" w:rsidP="00BD21AD">
      <w:pPr>
        <w:pStyle w:val="BodyText"/>
        <w:tabs>
          <w:tab w:val="center" w:pos="993"/>
        </w:tabs>
        <w:spacing w:line="276" w:lineRule="auto"/>
        <w:rPr>
          <w:rFonts w:cs="Times New Roman"/>
          <w:szCs w:val="24"/>
          <w:lang w:val="bg-BG"/>
        </w:rPr>
      </w:pPr>
      <w:r w:rsidRPr="004C782B">
        <w:rPr>
          <w:rFonts w:cs="Times New Roman"/>
          <w:szCs w:val="24"/>
          <w:lang w:val="bg-BG"/>
        </w:rPr>
        <w:t>1.</w:t>
      </w:r>
      <w:r>
        <w:rPr>
          <w:rFonts w:cs="Times New Roman"/>
          <w:b/>
          <w:szCs w:val="24"/>
          <w:lang w:val="bg-BG"/>
        </w:rPr>
        <w:t xml:space="preserve"> </w:t>
      </w:r>
      <w:r w:rsidR="004B5808" w:rsidRPr="004C782B">
        <w:rPr>
          <w:rFonts w:cs="Times New Roman"/>
          <w:szCs w:val="24"/>
          <w:lang w:val="bg-BG"/>
        </w:rPr>
        <w:t>ДФЗ ще предприеме мерки по изменение на администр</w:t>
      </w:r>
      <w:r w:rsidR="004C782B">
        <w:rPr>
          <w:rFonts w:cs="Times New Roman"/>
          <w:szCs w:val="24"/>
          <w:lang w:val="bg-BG"/>
        </w:rPr>
        <w:t xml:space="preserve">ативния договор в Приложение № </w:t>
      </w:r>
      <w:r w:rsidRPr="004C782B">
        <w:rPr>
          <w:rFonts w:cs="Times New Roman"/>
          <w:szCs w:val="24"/>
          <w:lang w:val="bg-BG"/>
        </w:rPr>
        <w:t>Приложение № 5 „Количествено-стойностна сметка“ – важи, когато предметът на договора включва извършване на строително-монтажни работи  на хартиен и електронен носител във формат (</w:t>
      </w:r>
      <w:proofErr w:type="spellStart"/>
      <w:r w:rsidRPr="004C782B">
        <w:rPr>
          <w:rFonts w:cs="Times New Roman"/>
          <w:szCs w:val="24"/>
          <w:lang w:val="bg-BG"/>
        </w:rPr>
        <w:t>xls</w:t>
      </w:r>
      <w:proofErr w:type="spellEnd"/>
      <w:r w:rsidRPr="004C782B">
        <w:rPr>
          <w:rFonts w:cs="Times New Roman"/>
          <w:szCs w:val="24"/>
          <w:lang w:val="bg-BG"/>
        </w:rPr>
        <w:t>), тъй като за кандидати, възложители по реда на П</w:t>
      </w:r>
      <w:r w:rsidR="004C782B">
        <w:rPr>
          <w:rFonts w:cs="Times New Roman"/>
          <w:szCs w:val="24"/>
          <w:lang w:val="bg-BG"/>
        </w:rPr>
        <w:t xml:space="preserve">МС 160 и ЗОП </w:t>
      </w:r>
      <w:r w:rsidRPr="004C782B">
        <w:rPr>
          <w:rFonts w:cs="Times New Roman"/>
          <w:szCs w:val="24"/>
          <w:lang w:val="bg-BG"/>
        </w:rPr>
        <w:t xml:space="preserve">следва да бъде предоставено Приложение № </w:t>
      </w:r>
      <w:r w:rsidR="00C31A61">
        <w:rPr>
          <w:rFonts w:cs="Times New Roman"/>
          <w:szCs w:val="24"/>
          <w:lang w:val="bg-BG"/>
        </w:rPr>
        <w:t>5</w:t>
      </w:r>
      <w:r w:rsidRPr="004C782B">
        <w:rPr>
          <w:rFonts w:cs="Times New Roman"/>
          <w:szCs w:val="24"/>
          <w:lang w:val="bg-BG"/>
        </w:rPr>
        <w:t xml:space="preserve"> с одобрени </w:t>
      </w:r>
      <w:r w:rsidRPr="004C782B">
        <w:rPr>
          <w:rFonts w:cs="Times New Roman"/>
          <w:b/>
          <w:szCs w:val="24"/>
          <w:u w:val="single"/>
          <w:lang w:val="bg-BG"/>
        </w:rPr>
        <w:t>само</w:t>
      </w:r>
      <w:r w:rsidRPr="004C782B">
        <w:rPr>
          <w:rFonts w:cs="Times New Roman"/>
          <w:szCs w:val="24"/>
          <w:lang w:val="bg-BG"/>
        </w:rPr>
        <w:t xml:space="preserve"> количествени сметки. </w:t>
      </w:r>
      <w:r w:rsidR="00607910">
        <w:rPr>
          <w:rFonts w:cs="Times New Roman"/>
          <w:szCs w:val="24"/>
          <w:lang w:val="bg-BG"/>
        </w:rPr>
        <w:t>К</w:t>
      </w:r>
      <w:r w:rsidRPr="004C782B">
        <w:rPr>
          <w:rFonts w:cs="Times New Roman"/>
          <w:szCs w:val="24"/>
          <w:lang w:val="bg-BG"/>
        </w:rPr>
        <w:t>оличествено-стойностни</w:t>
      </w:r>
      <w:r w:rsidR="00607910">
        <w:rPr>
          <w:rFonts w:cs="Times New Roman"/>
          <w:szCs w:val="24"/>
          <w:lang w:val="bg-BG"/>
        </w:rPr>
        <w:t>те</w:t>
      </w:r>
      <w:r w:rsidRPr="004C782B">
        <w:rPr>
          <w:rFonts w:cs="Times New Roman"/>
          <w:szCs w:val="24"/>
          <w:lang w:val="bg-BG"/>
        </w:rPr>
        <w:t xml:space="preserve"> сметки ще бъдат одобрени след проведена процедура</w:t>
      </w:r>
      <w:r w:rsidR="004C782B">
        <w:rPr>
          <w:rFonts w:cs="Times New Roman"/>
          <w:szCs w:val="24"/>
          <w:lang w:val="bg-BG"/>
        </w:rPr>
        <w:t xml:space="preserve"> и осъществен последващ контрол от страна на ДФЗ, след </w:t>
      </w:r>
      <w:r w:rsidRPr="004C782B">
        <w:rPr>
          <w:rFonts w:cs="Times New Roman"/>
          <w:szCs w:val="24"/>
          <w:lang w:val="bg-BG"/>
        </w:rPr>
        <w:t>което ще бъде сключено допълнително споразумение</w:t>
      </w:r>
      <w:r w:rsidR="004C782B">
        <w:rPr>
          <w:rFonts w:cs="Times New Roman"/>
          <w:szCs w:val="24"/>
          <w:lang w:val="bg-BG"/>
        </w:rPr>
        <w:t>.</w:t>
      </w:r>
    </w:p>
    <w:p w:rsidR="00E7040E" w:rsidRDefault="00E7040E" w:rsidP="00BD21AD">
      <w:pPr>
        <w:pStyle w:val="BodyText"/>
        <w:tabs>
          <w:tab w:val="center" w:pos="993"/>
        </w:tabs>
        <w:spacing w:line="276" w:lineRule="auto"/>
        <w:rPr>
          <w:rFonts w:cs="Times New Roman"/>
          <w:szCs w:val="24"/>
          <w:lang w:val="bg-BG"/>
        </w:rPr>
      </w:pPr>
    </w:p>
    <w:p w:rsidR="00D9544A" w:rsidRDefault="00607910" w:rsidP="00BD21AD">
      <w:pPr>
        <w:pStyle w:val="BodyText"/>
        <w:tabs>
          <w:tab w:val="center" w:pos="993"/>
        </w:tabs>
        <w:spacing w:line="276" w:lineRule="auto"/>
        <w:rPr>
          <w:rFonts w:cs="Times New Roman"/>
          <w:szCs w:val="24"/>
          <w:lang w:val="bg-BG"/>
        </w:rPr>
      </w:pPr>
      <w:r>
        <w:rPr>
          <w:rFonts w:cs="Times New Roman"/>
          <w:szCs w:val="24"/>
          <w:lang w:val="bg-BG"/>
        </w:rPr>
        <w:t xml:space="preserve">2. </w:t>
      </w:r>
      <w:r w:rsidR="009D43F6">
        <w:rPr>
          <w:rFonts w:cs="Times New Roman"/>
          <w:szCs w:val="24"/>
          <w:lang w:val="bg-BG"/>
        </w:rPr>
        <w:t xml:space="preserve">В случай, че </w:t>
      </w:r>
      <w:r w:rsidR="009870BD">
        <w:rPr>
          <w:rFonts w:cs="Times New Roman"/>
          <w:szCs w:val="24"/>
          <w:lang w:val="bg-BG"/>
        </w:rPr>
        <w:t xml:space="preserve">определен вид разход не бъде одобрен, тъй като същия не </w:t>
      </w:r>
      <w:r w:rsidR="00C31A61">
        <w:rPr>
          <w:rFonts w:cs="Times New Roman"/>
          <w:szCs w:val="24"/>
          <w:lang w:val="bg-BG"/>
        </w:rPr>
        <w:t>е допустим</w:t>
      </w:r>
      <w:r w:rsidR="009870BD">
        <w:rPr>
          <w:rFonts w:cs="Times New Roman"/>
          <w:szCs w:val="24"/>
          <w:lang w:val="bg-BG"/>
        </w:rPr>
        <w:t>, то в</w:t>
      </w:r>
      <w:r w:rsidR="00D9544A">
        <w:rPr>
          <w:rFonts w:cs="Times New Roman"/>
          <w:szCs w:val="24"/>
          <w:lang w:val="bg-BG"/>
        </w:rPr>
        <w:t xml:space="preserve"> Приложение № </w:t>
      </w:r>
      <w:r w:rsidR="00C31A61">
        <w:rPr>
          <w:rFonts w:cs="Times New Roman"/>
          <w:szCs w:val="24"/>
          <w:lang w:val="bg-BG"/>
        </w:rPr>
        <w:t>5</w:t>
      </w:r>
      <w:r w:rsidR="00D9544A">
        <w:rPr>
          <w:rFonts w:cs="Times New Roman"/>
          <w:szCs w:val="24"/>
          <w:lang w:val="bg-BG"/>
        </w:rPr>
        <w:t xml:space="preserve"> се включват всички позиции</w:t>
      </w:r>
      <w:r w:rsidR="009D43F6">
        <w:rPr>
          <w:rFonts w:cs="Times New Roman"/>
          <w:szCs w:val="24"/>
          <w:lang w:val="bg-BG"/>
        </w:rPr>
        <w:t xml:space="preserve">, но </w:t>
      </w:r>
      <w:r w:rsidR="00E310F1">
        <w:rPr>
          <w:rFonts w:cs="Times New Roman"/>
          <w:szCs w:val="24"/>
          <w:lang w:val="bg-BG"/>
        </w:rPr>
        <w:t xml:space="preserve">одобреното количество следва да бъде </w:t>
      </w:r>
      <w:r w:rsidR="009D43F6">
        <w:rPr>
          <w:rFonts w:cs="Times New Roman"/>
          <w:szCs w:val="24"/>
          <w:lang w:val="bg-BG"/>
        </w:rPr>
        <w:t xml:space="preserve">„0“. </w:t>
      </w:r>
      <w:r w:rsidR="00D9544A">
        <w:rPr>
          <w:rFonts w:cs="Times New Roman"/>
          <w:szCs w:val="24"/>
          <w:lang w:val="bg-BG"/>
        </w:rPr>
        <w:t xml:space="preserve">Това важи и </w:t>
      </w:r>
      <w:r w:rsidR="00C31A61">
        <w:rPr>
          <w:rFonts w:cs="Times New Roman"/>
          <w:szCs w:val="24"/>
          <w:lang w:val="bg-BG"/>
        </w:rPr>
        <w:t>в случаите, когато</w:t>
      </w:r>
      <w:r w:rsidR="00D9544A">
        <w:rPr>
          <w:rFonts w:cs="Times New Roman"/>
          <w:szCs w:val="24"/>
          <w:lang w:val="bg-BG"/>
        </w:rPr>
        <w:t xml:space="preserve"> редуцирате </w:t>
      </w:r>
      <w:r w:rsidR="00C31A61">
        <w:rPr>
          <w:rFonts w:cs="Times New Roman"/>
          <w:szCs w:val="24"/>
          <w:lang w:val="bg-BG"/>
        </w:rPr>
        <w:t>определени позиция от КСС, а не целия разход.</w:t>
      </w:r>
    </w:p>
    <w:p w:rsidR="00607910" w:rsidRDefault="009D43F6" w:rsidP="00BD21AD">
      <w:pPr>
        <w:pStyle w:val="BodyText"/>
        <w:tabs>
          <w:tab w:val="center" w:pos="993"/>
        </w:tabs>
        <w:spacing w:line="276" w:lineRule="auto"/>
        <w:rPr>
          <w:rFonts w:cs="Times New Roman"/>
          <w:szCs w:val="24"/>
          <w:lang w:val="bg-BG"/>
        </w:rPr>
      </w:pPr>
      <w:r w:rsidRPr="00D9544A">
        <w:rPr>
          <w:rFonts w:cs="Times New Roman"/>
          <w:b/>
          <w:szCs w:val="24"/>
          <w:lang w:val="bg-BG"/>
        </w:rPr>
        <w:t>Пример</w:t>
      </w:r>
      <w:r w:rsidR="00E310F1" w:rsidRPr="00D9544A">
        <w:rPr>
          <w:rFonts w:cs="Times New Roman"/>
          <w:b/>
          <w:szCs w:val="24"/>
          <w:lang w:val="bg-BG"/>
        </w:rPr>
        <w:t>:</w:t>
      </w:r>
      <w:r w:rsidR="00834831">
        <w:rPr>
          <w:rFonts w:cs="Times New Roman"/>
          <w:szCs w:val="24"/>
          <w:lang w:val="bg-BG"/>
        </w:rPr>
        <w:t xml:space="preserve"> Обект „</w:t>
      </w:r>
      <w:r w:rsidR="00D9544A">
        <w:rPr>
          <w:rFonts w:cs="Times New Roman"/>
          <w:szCs w:val="24"/>
          <w:lang w:val="bg-BG"/>
        </w:rPr>
        <w:t>Рехабилитация на п</w:t>
      </w:r>
      <w:r w:rsidR="00834831" w:rsidRPr="00834831">
        <w:rPr>
          <w:rFonts w:cs="Times New Roman"/>
          <w:szCs w:val="24"/>
          <w:lang w:val="bg-BG"/>
        </w:rPr>
        <w:t>ът PAZ 1061</w:t>
      </w:r>
      <w:r w:rsidR="00834831">
        <w:rPr>
          <w:rFonts w:cs="Times New Roman"/>
          <w:szCs w:val="24"/>
          <w:lang w:val="bg-BG"/>
        </w:rPr>
        <w:t>“</w:t>
      </w:r>
      <w:r w:rsidR="00834831" w:rsidRPr="00834831">
        <w:rPr>
          <w:rFonts w:cs="Times New Roman"/>
          <w:szCs w:val="24"/>
          <w:lang w:val="bg-BG"/>
        </w:rPr>
        <w:t xml:space="preserve">  </w:t>
      </w:r>
      <w:r w:rsidR="00834831">
        <w:rPr>
          <w:rFonts w:cs="Times New Roman"/>
          <w:szCs w:val="24"/>
          <w:lang w:val="bg-BG"/>
        </w:rPr>
        <w:t xml:space="preserve">не е допустим за подпомагане, допустим е само </w:t>
      </w:r>
      <w:r w:rsidR="00D9544A">
        <w:rPr>
          <w:rFonts w:cs="Times New Roman"/>
          <w:szCs w:val="24"/>
          <w:lang w:val="bg-BG"/>
        </w:rPr>
        <w:t>о</w:t>
      </w:r>
      <w:r w:rsidR="00A53721">
        <w:rPr>
          <w:rFonts w:cs="Times New Roman"/>
          <w:szCs w:val="24"/>
          <w:lang w:val="bg-BG"/>
        </w:rPr>
        <w:t>бект: „</w:t>
      </w:r>
      <w:r w:rsidR="00A53721" w:rsidRPr="00A53721">
        <w:rPr>
          <w:rFonts w:cs="Times New Roman"/>
          <w:szCs w:val="24"/>
          <w:lang w:val="bg-BG"/>
        </w:rPr>
        <w:t>Изграждане на нов път PAZ 2063“</w:t>
      </w:r>
      <w:r w:rsidR="00D9544A">
        <w:rPr>
          <w:rFonts w:cs="Times New Roman"/>
          <w:szCs w:val="24"/>
          <w:lang w:val="bg-BG"/>
        </w:rPr>
        <w:t xml:space="preserve">, </w:t>
      </w:r>
      <w:r w:rsidR="00C31A61">
        <w:rPr>
          <w:rFonts w:cs="Times New Roman"/>
          <w:szCs w:val="24"/>
          <w:lang w:val="bg-BG"/>
        </w:rPr>
        <w:t xml:space="preserve">но например позиция № 5 от КС не е допустима, </w:t>
      </w:r>
      <w:r w:rsidR="00D9544A">
        <w:rPr>
          <w:rFonts w:cs="Times New Roman"/>
          <w:szCs w:val="24"/>
          <w:lang w:val="bg-BG"/>
        </w:rPr>
        <w:t xml:space="preserve">то Приложение № </w:t>
      </w:r>
      <w:r w:rsidR="00C31A61">
        <w:rPr>
          <w:rFonts w:cs="Times New Roman"/>
          <w:szCs w:val="24"/>
          <w:lang w:val="bg-BG"/>
        </w:rPr>
        <w:t>5</w:t>
      </w:r>
      <w:r w:rsidR="00D9544A">
        <w:rPr>
          <w:rFonts w:cs="Times New Roman"/>
          <w:szCs w:val="24"/>
          <w:lang w:val="bg-BG"/>
        </w:rPr>
        <w:t xml:space="preserve"> изглежда по този начин:</w:t>
      </w:r>
    </w:p>
    <w:p w:rsidR="00D9544A" w:rsidRDefault="00D9544A" w:rsidP="00BD21AD">
      <w:pPr>
        <w:pStyle w:val="BodyText"/>
        <w:tabs>
          <w:tab w:val="center" w:pos="993"/>
        </w:tabs>
        <w:spacing w:line="276" w:lineRule="auto"/>
        <w:rPr>
          <w:rFonts w:cs="Times New Roman"/>
          <w:szCs w:val="24"/>
          <w:lang w:val="bg-BG"/>
        </w:rPr>
      </w:pPr>
    </w:p>
    <w:tbl>
      <w:tblPr>
        <w:tblW w:w="9460" w:type="dxa"/>
        <w:tblCellMar>
          <w:left w:w="70" w:type="dxa"/>
          <w:right w:w="70" w:type="dxa"/>
        </w:tblCellMar>
        <w:tblLook w:val="04A0" w:firstRow="1" w:lastRow="0" w:firstColumn="1" w:lastColumn="0" w:noHBand="0" w:noVBand="1"/>
      </w:tblPr>
      <w:tblGrid>
        <w:gridCol w:w="220"/>
        <w:gridCol w:w="5299"/>
        <w:gridCol w:w="1275"/>
        <w:gridCol w:w="2666"/>
      </w:tblGrid>
      <w:tr w:rsidR="00834831" w:rsidRPr="00834831" w:rsidTr="00834831">
        <w:trPr>
          <w:trHeight w:val="330"/>
        </w:trPr>
        <w:tc>
          <w:tcPr>
            <w:tcW w:w="9460" w:type="dxa"/>
            <w:gridSpan w:val="4"/>
            <w:tcBorders>
              <w:top w:val="single" w:sz="8" w:space="0" w:color="auto"/>
              <w:left w:val="single" w:sz="8" w:space="0" w:color="auto"/>
              <w:bottom w:val="single" w:sz="8" w:space="0" w:color="auto"/>
              <w:right w:val="single" w:sz="8" w:space="0" w:color="000000"/>
            </w:tcBorders>
            <w:shd w:val="clear" w:color="000000" w:fill="BFBFBF"/>
            <w:vAlign w:val="bottom"/>
            <w:hideMark/>
          </w:tcPr>
          <w:p w:rsidR="00834831" w:rsidRPr="00834831" w:rsidRDefault="005830EF" w:rsidP="00834831">
            <w:pPr>
              <w:spacing w:after="0" w:line="240" w:lineRule="auto"/>
              <w:jc w:val="center"/>
              <w:rPr>
                <w:rFonts w:ascii="Times New Roman" w:eastAsia="Times New Roman" w:hAnsi="Times New Roman" w:cs="Times New Roman"/>
                <w:b/>
                <w:bCs/>
                <w:noProof w:val="0"/>
                <w:sz w:val="16"/>
                <w:szCs w:val="16"/>
                <w:lang w:eastAsia="bg-BG"/>
              </w:rPr>
            </w:pPr>
            <w:r w:rsidRPr="00C31A61">
              <w:rPr>
                <w:rFonts w:ascii="Times New Roman" w:eastAsia="Times New Roman" w:hAnsi="Times New Roman" w:cs="Times New Roman"/>
                <w:b/>
                <w:bCs/>
                <w:noProof w:val="0"/>
                <w:sz w:val="16"/>
                <w:szCs w:val="16"/>
                <w:lang w:eastAsia="bg-BG"/>
              </w:rPr>
              <w:t>Приложение № 5</w:t>
            </w:r>
            <w:r w:rsidR="00834831" w:rsidRPr="00834831">
              <w:rPr>
                <w:rFonts w:ascii="Times New Roman" w:eastAsia="Times New Roman" w:hAnsi="Times New Roman" w:cs="Times New Roman"/>
                <w:b/>
                <w:bCs/>
                <w:noProof w:val="0"/>
                <w:sz w:val="16"/>
                <w:szCs w:val="16"/>
                <w:lang w:eastAsia="bg-BG"/>
              </w:rPr>
              <w:t xml:space="preserve"> - Количествени сметки</w:t>
            </w:r>
            <w:r w:rsidR="00105280">
              <w:rPr>
                <w:rFonts w:ascii="Times New Roman" w:eastAsia="Times New Roman" w:hAnsi="Times New Roman" w:cs="Times New Roman"/>
                <w:b/>
                <w:bCs/>
                <w:noProof w:val="0"/>
                <w:sz w:val="16"/>
                <w:szCs w:val="16"/>
                <w:lang w:eastAsia="bg-BG"/>
              </w:rPr>
              <w:t xml:space="preserve"> </w:t>
            </w:r>
          </w:p>
        </w:tc>
      </w:tr>
      <w:tr w:rsidR="00834831" w:rsidRPr="00834831" w:rsidTr="00C31A61">
        <w:trPr>
          <w:trHeight w:val="330"/>
        </w:trPr>
        <w:tc>
          <w:tcPr>
            <w:tcW w:w="5519"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834831" w:rsidRPr="00834831" w:rsidRDefault="00834831" w:rsidP="00834831">
            <w:pPr>
              <w:spacing w:after="0" w:line="240" w:lineRule="auto"/>
              <w:rPr>
                <w:rFonts w:ascii="Times New Roman" w:eastAsia="Times New Roman" w:hAnsi="Times New Roman" w:cs="Times New Roman"/>
                <w:b/>
                <w:bCs/>
                <w:noProof w:val="0"/>
                <w:sz w:val="16"/>
                <w:szCs w:val="16"/>
                <w:lang w:eastAsia="bg-BG"/>
              </w:rPr>
            </w:pPr>
            <w:r w:rsidRPr="00834831">
              <w:rPr>
                <w:rFonts w:ascii="Times New Roman" w:eastAsia="Times New Roman" w:hAnsi="Times New Roman" w:cs="Times New Roman"/>
                <w:b/>
                <w:bCs/>
                <w:noProof w:val="0"/>
                <w:sz w:val="16"/>
                <w:szCs w:val="16"/>
                <w:lang w:eastAsia="bg-BG"/>
              </w:rPr>
              <w:t xml:space="preserve"> Кандидат </w:t>
            </w:r>
          </w:p>
        </w:tc>
        <w:tc>
          <w:tcPr>
            <w:tcW w:w="3941"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834831" w:rsidRPr="00834831" w:rsidRDefault="00105280" w:rsidP="00834831">
            <w:pPr>
              <w:spacing w:after="0" w:line="240" w:lineRule="auto"/>
              <w:jc w:val="center"/>
              <w:rPr>
                <w:rFonts w:ascii="Times New Roman" w:eastAsia="Times New Roman" w:hAnsi="Times New Roman" w:cs="Times New Roman"/>
                <w:b/>
                <w:bCs/>
                <w:noProof w:val="0"/>
                <w:sz w:val="16"/>
                <w:szCs w:val="16"/>
                <w:lang w:eastAsia="bg-BG"/>
              </w:rPr>
            </w:pPr>
            <w:r>
              <w:rPr>
                <w:rFonts w:ascii="Times New Roman" w:eastAsia="Times New Roman" w:hAnsi="Times New Roman" w:cs="Times New Roman"/>
                <w:b/>
                <w:bCs/>
                <w:noProof w:val="0"/>
                <w:sz w:val="16"/>
                <w:szCs w:val="16"/>
                <w:lang w:eastAsia="bg-BG"/>
              </w:rPr>
              <w:t>Община или възложител по ПМС 160</w:t>
            </w:r>
          </w:p>
        </w:tc>
      </w:tr>
      <w:tr w:rsidR="00834831" w:rsidRPr="00834831" w:rsidTr="00834831">
        <w:trPr>
          <w:trHeight w:val="255"/>
        </w:trPr>
        <w:tc>
          <w:tcPr>
            <w:tcW w:w="9460" w:type="dxa"/>
            <w:gridSpan w:val="4"/>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rsidR="00834831" w:rsidRPr="00834831" w:rsidRDefault="00834831" w:rsidP="00834831">
            <w:pPr>
              <w:spacing w:after="0" w:line="240" w:lineRule="auto"/>
              <w:rPr>
                <w:rFonts w:ascii="Times New Roman" w:eastAsia="Times New Roman" w:hAnsi="Times New Roman" w:cs="Times New Roman"/>
                <w:b/>
                <w:bCs/>
                <w:noProof w:val="0"/>
                <w:sz w:val="16"/>
                <w:szCs w:val="16"/>
                <w:lang w:eastAsia="bg-BG"/>
              </w:rPr>
            </w:pPr>
            <w:r w:rsidRPr="00834831">
              <w:rPr>
                <w:rFonts w:ascii="Times New Roman" w:eastAsia="Times New Roman" w:hAnsi="Times New Roman" w:cs="Times New Roman"/>
                <w:b/>
                <w:bCs/>
                <w:noProof w:val="0"/>
                <w:sz w:val="16"/>
                <w:szCs w:val="16"/>
                <w:lang w:eastAsia="bg-BG"/>
              </w:rPr>
              <w:t xml:space="preserve">Обект: Рехабилитация на Път PAZ 1061  </w:t>
            </w:r>
          </w:p>
        </w:tc>
      </w:tr>
      <w:tr w:rsidR="00834831" w:rsidRPr="00834831" w:rsidTr="00834831">
        <w:trPr>
          <w:trHeight w:val="450"/>
        </w:trPr>
        <w:tc>
          <w:tcPr>
            <w:tcW w:w="9460" w:type="dxa"/>
            <w:gridSpan w:val="4"/>
            <w:vMerge/>
            <w:tcBorders>
              <w:top w:val="single" w:sz="8" w:space="0" w:color="auto"/>
              <w:left w:val="single" w:sz="8" w:space="0" w:color="auto"/>
              <w:bottom w:val="single" w:sz="8" w:space="0" w:color="000000"/>
              <w:right w:val="single" w:sz="8" w:space="0" w:color="000000"/>
            </w:tcBorders>
            <w:vAlign w:val="center"/>
            <w:hideMark/>
          </w:tcPr>
          <w:p w:rsidR="00834831" w:rsidRPr="00834831" w:rsidRDefault="00834831" w:rsidP="00834831">
            <w:pPr>
              <w:spacing w:after="0" w:line="240" w:lineRule="auto"/>
              <w:rPr>
                <w:rFonts w:ascii="Times New Roman" w:eastAsia="Times New Roman" w:hAnsi="Times New Roman" w:cs="Times New Roman"/>
                <w:b/>
                <w:bCs/>
                <w:noProof w:val="0"/>
                <w:sz w:val="16"/>
                <w:szCs w:val="16"/>
                <w:lang w:eastAsia="bg-BG"/>
              </w:rPr>
            </w:pPr>
          </w:p>
        </w:tc>
      </w:tr>
      <w:tr w:rsidR="00834831" w:rsidRPr="00834831" w:rsidTr="00834831">
        <w:trPr>
          <w:trHeight w:val="450"/>
        </w:trPr>
        <w:tc>
          <w:tcPr>
            <w:tcW w:w="9460" w:type="dxa"/>
            <w:gridSpan w:val="4"/>
            <w:vMerge/>
            <w:tcBorders>
              <w:top w:val="single" w:sz="8" w:space="0" w:color="auto"/>
              <w:left w:val="single" w:sz="8" w:space="0" w:color="auto"/>
              <w:bottom w:val="single" w:sz="8" w:space="0" w:color="000000"/>
              <w:right w:val="single" w:sz="8" w:space="0" w:color="000000"/>
            </w:tcBorders>
            <w:vAlign w:val="center"/>
            <w:hideMark/>
          </w:tcPr>
          <w:p w:rsidR="00834831" w:rsidRPr="00834831" w:rsidRDefault="00834831" w:rsidP="00834831">
            <w:pPr>
              <w:spacing w:after="0" w:line="240" w:lineRule="auto"/>
              <w:rPr>
                <w:rFonts w:ascii="Times New Roman" w:eastAsia="Times New Roman" w:hAnsi="Times New Roman" w:cs="Times New Roman"/>
                <w:b/>
                <w:bCs/>
                <w:noProof w:val="0"/>
                <w:sz w:val="16"/>
                <w:szCs w:val="16"/>
                <w:lang w:eastAsia="bg-BG"/>
              </w:rPr>
            </w:pPr>
          </w:p>
        </w:tc>
      </w:tr>
      <w:tr w:rsidR="00C31A61" w:rsidRPr="00834831" w:rsidTr="00C31A61">
        <w:trPr>
          <w:trHeight w:val="255"/>
        </w:trPr>
        <w:tc>
          <w:tcPr>
            <w:tcW w:w="220" w:type="dxa"/>
            <w:tcBorders>
              <w:top w:val="single" w:sz="4" w:space="0" w:color="auto"/>
              <w:left w:val="single" w:sz="4" w:space="0" w:color="auto"/>
              <w:bottom w:val="single" w:sz="4" w:space="0" w:color="auto"/>
              <w:right w:val="single" w:sz="4" w:space="0" w:color="auto"/>
            </w:tcBorders>
            <w:shd w:val="clear" w:color="auto" w:fill="auto"/>
            <w:noWrap/>
            <w:hideMark/>
          </w:tcPr>
          <w:p w:rsidR="00834831" w:rsidRPr="00834831" w:rsidRDefault="00834831" w:rsidP="00834831">
            <w:pPr>
              <w:spacing w:after="0" w:line="240" w:lineRule="auto"/>
              <w:jc w:val="center"/>
              <w:rPr>
                <w:rFonts w:ascii="Times New Roman" w:eastAsia="Times New Roman" w:hAnsi="Times New Roman" w:cs="Times New Roman"/>
                <w:noProof w:val="0"/>
                <w:sz w:val="16"/>
                <w:szCs w:val="16"/>
                <w:lang w:eastAsia="bg-BG"/>
              </w:rPr>
            </w:pPr>
            <w:r w:rsidRPr="00834831">
              <w:rPr>
                <w:rFonts w:ascii="Times New Roman" w:eastAsia="Times New Roman" w:hAnsi="Times New Roman" w:cs="Times New Roman"/>
                <w:noProof w:val="0"/>
                <w:sz w:val="16"/>
                <w:szCs w:val="16"/>
                <w:lang w:eastAsia="bg-BG"/>
              </w:rPr>
              <w:t> </w:t>
            </w:r>
          </w:p>
        </w:tc>
        <w:tc>
          <w:tcPr>
            <w:tcW w:w="5299" w:type="dxa"/>
            <w:tcBorders>
              <w:top w:val="single" w:sz="4" w:space="0" w:color="auto"/>
              <w:left w:val="nil"/>
              <w:bottom w:val="single" w:sz="4" w:space="0" w:color="auto"/>
              <w:right w:val="single" w:sz="4" w:space="0" w:color="auto"/>
            </w:tcBorders>
            <w:shd w:val="clear" w:color="000000" w:fill="FFFFFF"/>
            <w:vAlign w:val="bottom"/>
            <w:hideMark/>
          </w:tcPr>
          <w:p w:rsidR="00834831" w:rsidRPr="00834831" w:rsidRDefault="00834831" w:rsidP="00834831">
            <w:pPr>
              <w:spacing w:after="0" w:line="240" w:lineRule="auto"/>
              <w:jc w:val="center"/>
              <w:rPr>
                <w:rFonts w:ascii="Times New Roman" w:eastAsia="Times New Roman" w:hAnsi="Times New Roman" w:cs="Times New Roman"/>
                <w:b/>
                <w:bCs/>
                <w:noProof w:val="0"/>
                <w:sz w:val="16"/>
                <w:szCs w:val="16"/>
                <w:u w:val="single"/>
                <w:lang w:eastAsia="bg-BG"/>
              </w:rPr>
            </w:pPr>
            <w:r w:rsidRPr="00834831">
              <w:rPr>
                <w:rFonts w:ascii="Times New Roman" w:eastAsia="Times New Roman" w:hAnsi="Times New Roman" w:cs="Times New Roman"/>
                <w:b/>
                <w:bCs/>
                <w:noProof w:val="0"/>
                <w:sz w:val="16"/>
                <w:szCs w:val="16"/>
                <w:u w:val="single"/>
                <w:lang w:eastAsia="bg-BG"/>
              </w:rPr>
              <w:t>Сметка 1. Земни работи</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34831" w:rsidRPr="00834831" w:rsidRDefault="004F15F0" w:rsidP="00834831">
            <w:pPr>
              <w:spacing w:after="0" w:line="240" w:lineRule="auto"/>
              <w:jc w:val="center"/>
              <w:rPr>
                <w:rFonts w:ascii="Times New Roman" w:eastAsia="Times New Roman" w:hAnsi="Times New Roman" w:cs="Times New Roman"/>
                <w:noProof w:val="0"/>
                <w:sz w:val="16"/>
                <w:szCs w:val="16"/>
                <w:lang w:eastAsia="bg-BG"/>
              </w:rPr>
            </w:pPr>
            <w:r w:rsidRPr="00C31A61">
              <w:rPr>
                <w:rFonts w:ascii="Times New Roman" w:eastAsia="Times New Roman" w:hAnsi="Times New Roman" w:cs="Times New Roman"/>
                <w:noProof w:val="0"/>
                <w:sz w:val="16"/>
                <w:szCs w:val="16"/>
                <w:lang w:eastAsia="bg-BG"/>
              </w:rPr>
              <w:t>Мерна единица</w:t>
            </w:r>
            <w:r w:rsidR="00834831" w:rsidRPr="00834831">
              <w:rPr>
                <w:rFonts w:ascii="Times New Roman" w:eastAsia="Times New Roman" w:hAnsi="Times New Roman" w:cs="Times New Roman"/>
                <w:noProof w:val="0"/>
                <w:sz w:val="16"/>
                <w:szCs w:val="16"/>
                <w:lang w:eastAsia="bg-BG"/>
              </w:rPr>
              <w:t> </w:t>
            </w:r>
          </w:p>
        </w:tc>
        <w:tc>
          <w:tcPr>
            <w:tcW w:w="2666" w:type="dxa"/>
            <w:tcBorders>
              <w:top w:val="single" w:sz="4" w:space="0" w:color="auto"/>
              <w:left w:val="nil"/>
              <w:bottom w:val="single" w:sz="4" w:space="0" w:color="auto"/>
              <w:right w:val="single" w:sz="4" w:space="0" w:color="auto"/>
            </w:tcBorders>
            <w:shd w:val="clear" w:color="auto" w:fill="auto"/>
            <w:noWrap/>
            <w:vAlign w:val="bottom"/>
            <w:hideMark/>
          </w:tcPr>
          <w:p w:rsidR="00834831" w:rsidRPr="00834831" w:rsidRDefault="004F15F0" w:rsidP="00834831">
            <w:pPr>
              <w:spacing w:after="0" w:line="240" w:lineRule="auto"/>
              <w:jc w:val="center"/>
              <w:rPr>
                <w:rFonts w:ascii="Times New Roman" w:eastAsia="Times New Roman" w:hAnsi="Times New Roman" w:cs="Times New Roman"/>
                <w:noProof w:val="0"/>
                <w:sz w:val="16"/>
                <w:szCs w:val="16"/>
                <w:lang w:eastAsia="bg-BG"/>
              </w:rPr>
            </w:pPr>
            <w:r w:rsidRPr="00C31A61">
              <w:rPr>
                <w:rFonts w:ascii="Times New Roman" w:eastAsia="Times New Roman" w:hAnsi="Times New Roman" w:cs="Times New Roman"/>
                <w:noProof w:val="0"/>
                <w:sz w:val="16"/>
                <w:szCs w:val="16"/>
                <w:lang w:eastAsia="bg-BG"/>
              </w:rPr>
              <w:t>Одобрено количество</w:t>
            </w:r>
            <w:r w:rsidR="00834831" w:rsidRPr="00834831">
              <w:rPr>
                <w:rFonts w:ascii="Times New Roman" w:eastAsia="Times New Roman" w:hAnsi="Times New Roman" w:cs="Times New Roman"/>
                <w:noProof w:val="0"/>
                <w:sz w:val="16"/>
                <w:szCs w:val="16"/>
                <w:lang w:eastAsia="bg-BG"/>
              </w:rPr>
              <w:t> </w:t>
            </w:r>
          </w:p>
        </w:tc>
      </w:tr>
      <w:tr w:rsidR="00C31A61" w:rsidRPr="00834831" w:rsidTr="00C31A61">
        <w:trPr>
          <w:trHeight w:val="285"/>
        </w:trPr>
        <w:tc>
          <w:tcPr>
            <w:tcW w:w="220" w:type="dxa"/>
            <w:tcBorders>
              <w:top w:val="nil"/>
              <w:left w:val="single" w:sz="4" w:space="0" w:color="auto"/>
              <w:bottom w:val="single" w:sz="4" w:space="0" w:color="auto"/>
              <w:right w:val="single" w:sz="4" w:space="0" w:color="auto"/>
            </w:tcBorders>
            <w:shd w:val="clear" w:color="auto" w:fill="auto"/>
            <w:noWrap/>
            <w:hideMark/>
          </w:tcPr>
          <w:p w:rsidR="00834831" w:rsidRPr="00834831" w:rsidRDefault="00834831" w:rsidP="00834831">
            <w:pPr>
              <w:spacing w:after="0" w:line="240" w:lineRule="auto"/>
              <w:jc w:val="center"/>
              <w:rPr>
                <w:rFonts w:ascii="Times New Roman" w:eastAsia="Times New Roman" w:hAnsi="Times New Roman" w:cs="Times New Roman"/>
                <w:noProof w:val="0"/>
                <w:sz w:val="16"/>
                <w:szCs w:val="16"/>
                <w:lang w:eastAsia="bg-BG"/>
              </w:rPr>
            </w:pPr>
            <w:r w:rsidRPr="00834831">
              <w:rPr>
                <w:rFonts w:ascii="Times New Roman" w:eastAsia="Times New Roman" w:hAnsi="Times New Roman" w:cs="Times New Roman"/>
                <w:noProof w:val="0"/>
                <w:sz w:val="16"/>
                <w:szCs w:val="16"/>
                <w:lang w:eastAsia="bg-BG"/>
              </w:rPr>
              <w:t>1</w:t>
            </w:r>
          </w:p>
        </w:tc>
        <w:tc>
          <w:tcPr>
            <w:tcW w:w="5299" w:type="dxa"/>
            <w:tcBorders>
              <w:top w:val="nil"/>
              <w:left w:val="nil"/>
              <w:bottom w:val="single" w:sz="4" w:space="0" w:color="auto"/>
              <w:right w:val="single" w:sz="4" w:space="0" w:color="auto"/>
            </w:tcBorders>
            <w:shd w:val="clear" w:color="auto" w:fill="auto"/>
            <w:vAlign w:val="bottom"/>
            <w:hideMark/>
          </w:tcPr>
          <w:p w:rsidR="00834831" w:rsidRPr="00834831" w:rsidRDefault="00834831" w:rsidP="00834831">
            <w:pPr>
              <w:spacing w:after="0" w:line="240" w:lineRule="auto"/>
              <w:jc w:val="both"/>
              <w:rPr>
                <w:rFonts w:ascii="Times New Roman" w:eastAsia="Times New Roman" w:hAnsi="Times New Roman" w:cs="Times New Roman"/>
                <w:noProof w:val="0"/>
                <w:sz w:val="16"/>
                <w:szCs w:val="16"/>
                <w:lang w:eastAsia="bg-BG"/>
              </w:rPr>
            </w:pPr>
            <w:r w:rsidRPr="00834831">
              <w:rPr>
                <w:rFonts w:ascii="Times New Roman" w:eastAsia="Times New Roman" w:hAnsi="Times New Roman" w:cs="Times New Roman"/>
                <w:noProof w:val="0"/>
                <w:sz w:val="16"/>
                <w:szCs w:val="16"/>
                <w:lang w:eastAsia="bg-BG"/>
              </w:rPr>
              <w:t>Почистване храсти и дървета с диаметър до 10см</w:t>
            </w:r>
          </w:p>
        </w:tc>
        <w:tc>
          <w:tcPr>
            <w:tcW w:w="1275" w:type="dxa"/>
            <w:tcBorders>
              <w:top w:val="nil"/>
              <w:left w:val="nil"/>
              <w:bottom w:val="single" w:sz="4" w:space="0" w:color="auto"/>
              <w:right w:val="single" w:sz="4" w:space="0" w:color="auto"/>
            </w:tcBorders>
            <w:shd w:val="clear" w:color="auto" w:fill="auto"/>
            <w:noWrap/>
            <w:vAlign w:val="bottom"/>
            <w:hideMark/>
          </w:tcPr>
          <w:p w:rsidR="00834831" w:rsidRPr="00834831" w:rsidRDefault="00834831" w:rsidP="00834831">
            <w:pPr>
              <w:spacing w:after="0" w:line="240" w:lineRule="auto"/>
              <w:jc w:val="center"/>
              <w:rPr>
                <w:rFonts w:ascii="Times New Roman" w:eastAsia="Times New Roman" w:hAnsi="Times New Roman" w:cs="Times New Roman"/>
                <w:noProof w:val="0"/>
                <w:sz w:val="16"/>
                <w:szCs w:val="16"/>
                <w:lang w:eastAsia="bg-BG"/>
              </w:rPr>
            </w:pPr>
            <w:r w:rsidRPr="00834831">
              <w:rPr>
                <w:rFonts w:ascii="Times New Roman" w:eastAsia="Times New Roman" w:hAnsi="Times New Roman" w:cs="Times New Roman"/>
                <w:noProof w:val="0"/>
                <w:sz w:val="16"/>
                <w:szCs w:val="16"/>
                <w:lang w:eastAsia="bg-BG"/>
              </w:rPr>
              <w:t>м</w:t>
            </w:r>
            <w:r w:rsidRPr="00834831">
              <w:rPr>
                <w:rFonts w:ascii="Times New Roman" w:eastAsia="Times New Roman" w:hAnsi="Times New Roman" w:cs="Times New Roman"/>
                <w:noProof w:val="0"/>
                <w:sz w:val="16"/>
                <w:szCs w:val="16"/>
                <w:vertAlign w:val="superscript"/>
                <w:lang w:eastAsia="bg-BG"/>
              </w:rPr>
              <w:t>2</w:t>
            </w:r>
          </w:p>
        </w:tc>
        <w:tc>
          <w:tcPr>
            <w:tcW w:w="2666" w:type="dxa"/>
            <w:tcBorders>
              <w:top w:val="nil"/>
              <w:left w:val="nil"/>
              <w:bottom w:val="single" w:sz="4" w:space="0" w:color="auto"/>
              <w:right w:val="single" w:sz="4" w:space="0" w:color="auto"/>
            </w:tcBorders>
            <w:shd w:val="clear" w:color="auto" w:fill="auto"/>
            <w:noWrap/>
            <w:vAlign w:val="bottom"/>
            <w:hideMark/>
          </w:tcPr>
          <w:p w:rsidR="00834831" w:rsidRPr="00834831" w:rsidRDefault="00834831" w:rsidP="00834831">
            <w:pPr>
              <w:spacing w:after="0" w:line="240" w:lineRule="auto"/>
              <w:jc w:val="center"/>
              <w:rPr>
                <w:rFonts w:ascii="Times New Roman" w:eastAsia="Times New Roman" w:hAnsi="Times New Roman" w:cs="Times New Roman"/>
                <w:noProof w:val="0"/>
                <w:color w:val="FF0000"/>
                <w:sz w:val="16"/>
                <w:szCs w:val="16"/>
                <w:lang w:eastAsia="bg-BG"/>
              </w:rPr>
            </w:pPr>
            <w:r w:rsidRPr="00834831">
              <w:rPr>
                <w:rFonts w:ascii="Times New Roman" w:eastAsia="Times New Roman" w:hAnsi="Times New Roman" w:cs="Times New Roman"/>
                <w:noProof w:val="0"/>
                <w:color w:val="FF0000"/>
                <w:sz w:val="16"/>
                <w:szCs w:val="16"/>
                <w:lang w:eastAsia="bg-BG"/>
              </w:rPr>
              <w:t>0,00</w:t>
            </w:r>
          </w:p>
        </w:tc>
      </w:tr>
      <w:tr w:rsidR="00C31A61" w:rsidRPr="00834831" w:rsidTr="00C31A61">
        <w:trPr>
          <w:trHeight w:val="765"/>
        </w:trPr>
        <w:tc>
          <w:tcPr>
            <w:tcW w:w="220" w:type="dxa"/>
            <w:tcBorders>
              <w:top w:val="nil"/>
              <w:left w:val="single" w:sz="4" w:space="0" w:color="auto"/>
              <w:bottom w:val="single" w:sz="4" w:space="0" w:color="auto"/>
              <w:right w:val="single" w:sz="4" w:space="0" w:color="auto"/>
            </w:tcBorders>
            <w:shd w:val="clear" w:color="auto" w:fill="auto"/>
            <w:noWrap/>
            <w:hideMark/>
          </w:tcPr>
          <w:p w:rsidR="00834831" w:rsidRPr="00834831" w:rsidRDefault="00834831" w:rsidP="00834831">
            <w:pPr>
              <w:spacing w:after="0" w:line="240" w:lineRule="auto"/>
              <w:jc w:val="center"/>
              <w:rPr>
                <w:rFonts w:ascii="Times New Roman" w:eastAsia="Times New Roman" w:hAnsi="Times New Roman" w:cs="Times New Roman"/>
                <w:noProof w:val="0"/>
                <w:sz w:val="16"/>
                <w:szCs w:val="16"/>
                <w:lang w:eastAsia="bg-BG"/>
              </w:rPr>
            </w:pPr>
            <w:r w:rsidRPr="00834831">
              <w:rPr>
                <w:rFonts w:ascii="Times New Roman" w:eastAsia="Times New Roman" w:hAnsi="Times New Roman" w:cs="Times New Roman"/>
                <w:noProof w:val="0"/>
                <w:sz w:val="16"/>
                <w:szCs w:val="16"/>
                <w:lang w:eastAsia="bg-BG"/>
              </w:rPr>
              <w:lastRenderedPageBreak/>
              <w:t>2</w:t>
            </w:r>
          </w:p>
        </w:tc>
        <w:tc>
          <w:tcPr>
            <w:tcW w:w="5299" w:type="dxa"/>
            <w:tcBorders>
              <w:top w:val="nil"/>
              <w:left w:val="nil"/>
              <w:bottom w:val="single" w:sz="4" w:space="0" w:color="auto"/>
              <w:right w:val="single" w:sz="4" w:space="0" w:color="auto"/>
            </w:tcBorders>
            <w:shd w:val="clear" w:color="auto" w:fill="auto"/>
            <w:vAlign w:val="bottom"/>
            <w:hideMark/>
          </w:tcPr>
          <w:p w:rsidR="00834831" w:rsidRPr="00834831" w:rsidRDefault="00834831" w:rsidP="00834831">
            <w:pPr>
              <w:spacing w:after="0" w:line="240" w:lineRule="auto"/>
              <w:jc w:val="both"/>
              <w:rPr>
                <w:rFonts w:ascii="Times New Roman" w:eastAsia="Times New Roman" w:hAnsi="Times New Roman" w:cs="Times New Roman"/>
                <w:noProof w:val="0"/>
                <w:sz w:val="16"/>
                <w:szCs w:val="16"/>
                <w:lang w:eastAsia="bg-BG"/>
              </w:rPr>
            </w:pPr>
            <w:r w:rsidRPr="00834831">
              <w:rPr>
                <w:rFonts w:ascii="Times New Roman" w:eastAsia="Times New Roman" w:hAnsi="Times New Roman" w:cs="Times New Roman"/>
                <w:noProof w:val="0"/>
                <w:sz w:val="16"/>
                <w:szCs w:val="16"/>
                <w:lang w:eastAsia="bg-BG"/>
              </w:rPr>
              <w:t xml:space="preserve">Разкъртване на съществуващи водостоци и крила към тях, транспортиране на определено </w:t>
            </w:r>
            <w:proofErr w:type="spellStart"/>
            <w:r w:rsidRPr="00834831">
              <w:rPr>
                <w:rFonts w:ascii="Times New Roman" w:eastAsia="Times New Roman" w:hAnsi="Times New Roman" w:cs="Times New Roman"/>
                <w:noProof w:val="0"/>
                <w:sz w:val="16"/>
                <w:szCs w:val="16"/>
                <w:lang w:eastAsia="bg-BG"/>
              </w:rPr>
              <w:t>растояние</w:t>
            </w:r>
            <w:proofErr w:type="spellEnd"/>
            <w:r w:rsidRPr="00834831">
              <w:rPr>
                <w:rFonts w:ascii="Times New Roman" w:eastAsia="Times New Roman" w:hAnsi="Times New Roman" w:cs="Times New Roman"/>
                <w:noProof w:val="0"/>
                <w:sz w:val="16"/>
                <w:szCs w:val="16"/>
                <w:lang w:eastAsia="bg-BG"/>
              </w:rPr>
              <w:t xml:space="preserve">, разтоварване на депо и оформянето му съгласно изискванията на ТС. </w:t>
            </w:r>
          </w:p>
        </w:tc>
        <w:tc>
          <w:tcPr>
            <w:tcW w:w="1275" w:type="dxa"/>
            <w:tcBorders>
              <w:top w:val="nil"/>
              <w:left w:val="nil"/>
              <w:bottom w:val="single" w:sz="4" w:space="0" w:color="auto"/>
              <w:right w:val="single" w:sz="4" w:space="0" w:color="auto"/>
            </w:tcBorders>
            <w:shd w:val="clear" w:color="000000" w:fill="FFFFFF"/>
            <w:noWrap/>
            <w:vAlign w:val="bottom"/>
            <w:hideMark/>
          </w:tcPr>
          <w:p w:rsidR="00834831" w:rsidRPr="00834831" w:rsidRDefault="00834831" w:rsidP="00834831">
            <w:pPr>
              <w:spacing w:after="0" w:line="240" w:lineRule="auto"/>
              <w:jc w:val="center"/>
              <w:rPr>
                <w:rFonts w:ascii="Times New Roman" w:eastAsia="Times New Roman" w:hAnsi="Times New Roman" w:cs="Times New Roman"/>
                <w:noProof w:val="0"/>
                <w:sz w:val="16"/>
                <w:szCs w:val="16"/>
                <w:lang w:eastAsia="bg-BG"/>
              </w:rPr>
            </w:pPr>
            <w:r w:rsidRPr="00834831">
              <w:rPr>
                <w:rFonts w:ascii="Times New Roman" w:eastAsia="Times New Roman" w:hAnsi="Times New Roman" w:cs="Times New Roman"/>
                <w:noProof w:val="0"/>
                <w:sz w:val="16"/>
                <w:szCs w:val="16"/>
                <w:lang w:eastAsia="bg-BG"/>
              </w:rPr>
              <w:t>м</w:t>
            </w:r>
            <w:r w:rsidRPr="00834831">
              <w:rPr>
                <w:rFonts w:ascii="Times New Roman" w:eastAsia="Times New Roman" w:hAnsi="Times New Roman" w:cs="Times New Roman"/>
                <w:noProof w:val="0"/>
                <w:sz w:val="16"/>
                <w:szCs w:val="16"/>
                <w:vertAlign w:val="superscript"/>
                <w:lang w:eastAsia="bg-BG"/>
              </w:rPr>
              <w:t>3</w:t>
            </w:r>
          </w:p>
        </w:tc>
        <w:tc>
          <w:tcPr>
            <w:tcW w:w="2666" w:type="dxa"/>
            <w:tcBorders>
              <w:top w:val="nil"/>
              <w:left w:val="nil"/>
              <w:bottom w:val="single" w:sz="4" w:space="0" w:color="auto"/>
              <w:right w:val="single" w:sz="4" w:space="0" w:color="auto"/>
            </w:tcBorders>
            <w:shd w:val="clear" w:color="auto" w:fill="auto"/>
            <w:noWrap/>
            <w:vAlign w:val="bottom"/>
            <w:hideMark/>
          </w:tcPr>
          <w:p w:rsidR="00834831" w:rsidRPr="00834831" w:rsidRDefault="00834831" w:rsidP="00834831">
            <w:pPr>
              <w:spacing w:after="0" w:line="240" w:lineRule="auto"/>
              <w:jc w:val="center"/>
              <w:rPr>
                <w:rFonts w:ascii="Times New Roman" w:eastAsia="Times New Roman" w:hAnsi="Times New Roman" w:cs="Times New Roman"/>
                <w:noProof w:val="0"/>
                <w:color w:val="FF0000"/>
                <w:sz w:val="16"/>
                <w:szCs w:val="16"/>
                <w:lang w:eastAsia="bg-BG"/>
              </w:rPr>
            </w:pPr>
            <w:r w:rsidRPr="00834831">
              <w:rPr>
                <w:rFonts w:ascii="Times New Roman" w:eastAsia="Times New Roman" w:hAnsi="Times New Roman" w:cs="Times New Roman"/>
                <w:noProof w:val="0"/>
                <w:color w:val="FF0000"/>
                <w:sz w:val="16"/>
                <w:szCs w:val="16"/>
                <w:lang w:eastAsia="bg-BG"/>
              </w:rPr>
              <w:t>0,00</w:t>
            </w:r>
          </w:p>
        </w:tc>
      </w:tr>
      <w:tr w:rsidR="00C31A61" w:rsidRPr="00834831" w:rsidTr="00C31A61">
        <w:trPr>
          <w:trHeight w:val="765"/>
        </w:trPr>
        <w:tc>
          <w:tcPr>
            <w:tcW w:w="220" w:type="dxa"/>
            <w:tcBorders>
              <w:top w:val="nil"/>
              <w:left w:val="single" w:sz="4" w:space="0" w:color="auto"/>
              <w:bottom w:val="single" w:sz="4" w:space="0" w:color="auto"/>
              <w:right w:val="single" w:sz="4" w:space="0" w:color="auto"/>
            </w:tcBorders>
            <w:shd w:val="clear" w:color="auto" w:fill="auto"/>
            <w:noWrap/>
            <w:hideMark/>
          </w:tcPr>
          <w:p w:rsidR="00834831" w:rsidRPr="00834831" w:rsidRDefault="00834831" w:rsidP="00834831">
            <w:pPr>
              <w:spacing w:after="0" w:line="240" w:lineRule="auto"/>
              <w:jc w:val="center"/>
              <w:rPr>
                <w:rFonts w:ascii="Times New Roman" w:eastAsia="Times New Roman" w:hAnsi="Times New Roman" w:cs="Times New Roman"/>
                <w:noProof w:val="0"/>
                <w:sz w:val="16"/>
                <w:szCs w:val="16"/>
                <w:lang w:eastAsia="bg-BG"/>
              </w:rPr>
            </w:pPr>
            <w:r w:rsidRPr="00834831">
              <w:rPr>
                <w:rFonts w:ascii="Times New Roman" w:eastAsia="Times New Roman" w:hAnsi="Times New Roman" w:cs="Times New Roman"/>
                <w:noProof w:val="0"/>
                <w:sz w:val="16"/>
                <w:szCs w:val="16"/>
                <w:lang w:eastAsia="bg-BG"/>
              </w:rPr>
              <w:t>3</w:t>
            </w:r>
          </w:p>
        </w:tc>
        <w:tc>
          <w:tcPr>
            <w:tcW w:w="5299" w:type="dxa"/>
            <w:tcBorders>
              <w:top w:val="nil"/>
              <w:left w:val="nil"/>
              <w:bottom w:val="single" w:sz="4" w:space="0" w:color="auto"/>
              <w:right w:val="single" w:sz="4" w:space="0" w:color="auto"/>
            </w:tcBorders>
            <w:shd w:val="clear" w:color="auto" w:fill="auto"/>
            <w:vAlign w:val="bottom"/>
            <w:hideMark/>
          </w:tcPr>
          <w:p w:rsidR="00834831" w:rsidRPr="00834831" w:rsidRDefault="00834831" w:rsidP="00834831">
            <w:pPr>
              <w:spacing w:after="0" w:line="240" w:lineRule="auto"/>
              <w:jc w:val="both"/>
              <w:rPr>
                <w:rFonts w:ascii="Times New Roman" w:eastAsia="Times New Roman" w:hAnsi="Times New Roman" w:cs="Times New Roman"/>
                <w:noProof w:val="0"/>
                <w:sz w:val="16"/>
                <w:szCs w:val="16"/>
                <w:lang w:eastAsia="bg-BG"/>
              </w:rPr>
            </w:pPr>
            <w:r w:rsidRPr="00834831">
              <w:rPr>
                <w:rFonts w:ascii="Times New Roman" w:eastAsia="Times New Roman" w:hAnsi="Times New Roman" w:cs="Times New Roman"/>
                <w:noProof w:val="0"/>
                <w:sz w:val="16"/>
                <w:szCs w:val="16"/>
                <w:lang w:eastAsia="bg-BG"/>
              </w:rPr>
              <w:t xml:space="preserve">Изкоп земни почви, включително натоварване, транспортиране на определено </w:t>
            </w:r>
            <w:proofErr w:type="spellStart"/>
            <w:r w:rsidRPr="00834831">
              <w:rPr>
                <w:rFonts w:ascii="Times New Roman" w:eastAsia="Times New Roman" w:hAnsi="Times New Roman" w:cs="Times New Roman"/>
                <w:noProof w:val="0"/>
                <w:sz w:val="16"/>
                <w:szCs w:val="16"/>
                <w:lang w:eastAsia="bg-BG"/>
              </w:rPr>
              <w:t>растояние</w:t>
            </w:r>
            <w:proofErr w:type="spellEnd"/>
            <w:r w:rsidRPr="00834831">
              <w:rPr>
                <w:rFonts w:ascii="Times New Roman" w:eastAsia="Times New Roman" w:hAnsi="Times New Roman" w:cs="Times New Roman"/>
                <w:noProof w:val="0"/>
                <w:sz w:val="16"/>
                <w:szCs w:val="16"/>
                <w:lang w:eastAsia="bg-BG"/>
              </w:rPr>
              <w:t xml:space="preserve">, разтоварване на депо и оформянето му съгласно изискванията на ТС. </w:t>
            </w:r>
          </w:p>
        </w:tc>
        <w:tc>
          <w:tcPr>
            <w:tcW w:w="1275" w:type="dxa"/>
            <w:tcBorders>
              <w:top w:val="nil"/>
              <w:left w:val="nil"/>
              <w:bottom w:val="single" w:sz="4" w:space="0" w:color="auto"/>
              <w:right w:val="single" w:sz="4" w:space="0" w:color="auto"/>
            </w:tcBorders>
            <w:shd w:val="clear" w:color="000000" w:fill="FFFFFF"/>
            <w:noWrap/>
            <w:vAlign w:val="bottom"/>
            <w:hideMark/>
          </w:tcPr>
          <w:p w:rsidR="00834831" w:rsidRPr="00834831" w:rsidRDefault="00834831" w:rsidP="00834831">
            <w:pPr>
              <w:spacing w:after="0" w:line="240" w:lineRule="auto"/>
              <w:jc w:val="center"/>
              <w:rPr>
                <w:rFonts w:ascii="Times New Roman" w:eastAsia="Times New Roman" w:hAnsi="Times New Roman" w:cs="Times New Roman"/>
                <w:noProof w:val="0"/>
                <w:sz w:val="16"/>
                <w:szCs w:val="16"/>
                <w:lang w:eastAsia="bg-BG"/>
              </w:rPr>
            </w:pPr>
            <w:r w:rsidRPr="00834831">
              <w:rPr>
                <w:rFonts w:ascii="Times New Roman" w:eastAsia="Times New Roman" w:hAnsi="Times New Roman" w:cs="Times New Roman"/>
                <w:noProof w:val="0"/>
                <w:sz w:val="16"/>
                <w:szCs w:val="16"/>
                <w:lang w:eastAsia="bg-BG"/>
              </w:rPr>
              <w:t>м</w:t>
            </w:r>
            <w:r w:rsidRPr="00834831">
              <w:rPr>
                <w:rFonts w:ascii="Times New Roman" w:eastAsia="Times New Roman" w:hAnsi="Times New Roman" w:cs="Times New Roman"/>
                <w:noProof w:val="0"/>
                <w:sz w:val="16"/>
                <w:szCs w:val="16"/>
                <w:vertAlign w:val="superscript"/>
                <w:lang w:eastAsia="bg-BG"/>
              </w:rPr>
              <w:t>3</w:t>
            </w:r>
          </w:p>
        </w:tc>
        <w:tc>
          <w:tcPr>
            <w:tcW w:w="2666" w:type="dxa"/>
            <w:tcBorders>
              <w:top w:val="nil"/>
              <w:left w:val="nil"/>
              <w:bottom w:val="single" w:sz="4" w:space="0" w:color="auto"/>
              <w:right w:val="single" w:sz="4" w:space="0" w:color="auto"/>
            </w:tcBorders>
            <w:shd w:val="clear" w:color="auto" w:fill="auto"/>
            <w:noWrap/>
            <w:vAlign w:val="bottom"/>
            <w:hideMark/>
          </w:tcPr>
          <w:p w:rsidR="00834831" w:rsidRPr="00834831" w:rsidRDefault="00834831" w:rsidP="00834831">
            <w:pPr>
              <w:spacing w:after="0" w:line="240" w:lineRule="auto"/>
              <w:jc w:val="center"/>
              <w:rPr>
                <w:rFonts w:ascii="Times New Roman" w:eastAsia="Times New Roman" w:hAnsi="Times New Roman" w:cs="Times New Roman"/>
                <w:noProof w:val="0"/>
                <w:color w:val="FF0000"/>
                <w:sz w:val="16"/>
                <w:szCs w:val="16"/>
                <w:lang w:eastAsia="bg-BG"/>
              </w:rPr>
            </w:pPr>
            <w:r w:rsidRPr="00834831">
              <w:rPr>
                <w:rFonts w:ascii="Times New Roman" w:eastAsia="Times New Roman" w:hAnsi="Times New Roman" w:cs="Times New Roman"/>
                <w:noProof w:val="0"/>
                <w:color w:val="FF0000"/>
                <w:sz w:val="16"/>
                <w:szCs w:val="16"/>
                <w:lang w:eastAsia="bg-BG"/>
              </w:rPr>
              <w:t>0,00</w:t>
            </w:r>
          </w:p>
        </w:tc>
      </w:tr>
      <w:tr w:rsidR="00C31A61" w:rsidRPr="00834831" w:rsidTr="00C31A61">
        <w:trPr>
          <w:trHeight w:val="765"/>
        </w:trPr>
        <w:tc>
          <w:tcPr>
            <w:tcW w:w="220" w:type="dxa"/>
            <w:tcBorders>
              <w:top w:val="nil"/>
              <w:left w:val="single" w:sz="4" w:space="0" w:color="auto"/>
              <w:bottom w:val="single" w:sz="4" w:space="0" w:color="auto"/>
              <w:right w:val="single" w:sz="4" w:space="0" w:color="auto"/>
            </w:tcBorders>
            <w:shd w:val="clear" w:color="auto" w:fill="auto"/>
            <w:noWrap/>
            <w:hideMark/>
          </w:tcPr>
          <w:p w:rsidR="00834831" w:rsidRPr="00834831" w:rsidRDefault="00834831" w:rsidP="00834831">
            <w:pPr>
              <w:spacing w:after="0" w:line="240" w:lineRule="auto"/>
              <w:jc w:val="center"/>
              <w:rPr>
                <w:rFonts w:ascii="Times New Roman" w:eastAsia="Times New Roman" w:hAnsi="Times New Roman" w:cs="Times New Roman"/>
                <w:noProof w:val="0"/>
                <w:sz w:val="16"/>
                <w:szCs w:val="16"/>
                <w:lang w:eastAsia="bg-BG"/>
              </w:rPr>
            </w:pPr>
            <w:r w:rsidRPr="00834831">
              <w:rPr>
                <w:rFonts w:ascii="Times New Roman" w:eastAsia="Times New Roman" w:hAnsi="Times New Roman" w:cs="Times New Roman"/>
                <w:noProof w:val="0"/>
                <w:sz w:val="16"/>
                <w:szCs w:val="16"/>
                <w:lang w:eastAsia="bg-BG"/>
              </w:rPr>
              <w:t>4</w:t>
            </w:r>
          </w:p>
        </w:tc>
        <w:tc>
          <w:tcPr>
            <w:tcW w:w="5299" w:type="dxa"/>
            <w:tcBorders>
              <w:top w:val="nil"/>
              <w:left w:val="nil"/>
              <w:bottom w:val="single" w:sz="4" w:space="0" w:color="auto"/>
              <w:right w:val="single" w:sz="4" w:space="0" w:color="auto"/>
            </w:tcBorders>
            <w:shd w:val="clear" w:color="auto" w:fill="auto"/>
            <w:vAlign w:val="bottom"/>
            <w:hideMark/>
          </w:tcPr>
          <w:p w:rsidR="00834831" w:rsidRPr="00834831" w:rsidRDefault="00834831" w:rsidP="00834831">
            <w:pPr>
              <w:spacing w:after="0" w:line="240" w:lineRule="auto"/>
              <w:jc w:val="both"/>
              <w:rPr>
                <w:rFonts w:ascii="Times New Roman" w:eastAsia="Times New Roman" w:hAnsi="Times New Roman" w:cs="Times New Roman"/>
                <w:noProof w:val="0"/>
                <w:sz w:val="16"/>
                <w:szCs w:val="16"/>
                <w:lang w:eastAsia="bg-BG"/>
              </w:rPr>
            </w:pPr>
            <w:r w:rsidRPr="00834831">
              <w:rPr>
                <w:rFonts w:ascii="Times New Roman" w:eastAsia="Times New Roman" w:hAnsi="Times New Roman" w:cs="Times New Roman"/>
                <w:noProof w:val="0"/>
                <w:sz w:val="16"/>
                <w:szCs w:val="16"/>
                <w:lang w:eastAsia="bg-BG"/>
              </w:rPr>
              <w:t>Изкоп за окопи и дренажи, включително натоварване, транспортиране на определено разстояние, разтоварване на депо и оформянето му, съгласно изискванията на ТС.</w:t>
            </w:r>
          </w:p>
        </w:tc>
        <w:tc>
          <w:tcPr>
            <w:tcW w:w="1275" w:type="dxa"/>
            <w:tcBorders>
              <w:top w:val="nil"/>
              <w:left w:val="nil"/>
              <w:bottom w:val="single" w:sz="4" w:space="0" w:color="auto"/>
              <w:right w:val="single" w:sz="4" w:space="0" w:color="auto"/>
            </w:tcBorders>
            <w:shd w:val="clear" w:color="000000" w:fill="FFFFFF"/>
            <w:noWrap/>
            <w:vAlign w:val="bottom"/>
            <w:hideMark/>
          </w:tcPr>
          <w:p w:rsidR="00834831" w:rsidRPr="00834831" w:rsidRDefault="00834831" w:rsidP="00834831">
            <w:pPr>
              <w:spacing w:after="0" w:line="240" w:lineRule="auto"/>
              <w:jc w:val="center"/>
              <w:rPr>
                <w:rFonts w:ascii="Times New Roman" w:eastAsia="Times New Roman" w:hAnsi="Times New Roman" w:cs="Times New Roman"/>
                <w:noProof w:val="0"/>
                <w:sz w:val="16"/>
                <w:szCs w:val="16"/>
                <w:lang w:eastAsia="bg-BG"/>
              </w:rPr>
            </w:pPr>
            <w:r w:rsidRPr="00834831">
              <w:rPr>
                <w:rFonts w:ascii="Times New Roman" w:eastAsia="Times New Roman" w:hAnsi="Times New Roman" w:cs="Times New Roman"/>
                <w:noProof w:val="0"/>
                <w:sz w:val="16"/>
                <w:szCs w:val="16"/>
                <w:lang w:eastAsia="bg-BG"/>
              </w:rPr>
              <w:t>м</w:t>
            </w:r>
            <w:r w:rsidRPr="00834831">
              <w:rPr>
                <w:rFonts w:ascii="Times New Roman" w:eastAsia="Times New Roman" w:hAnsi="Times New Roman" w:cs="Times New Roman"/>
                <w:noProof w:val="0"/>
                <w:sz w:val="16"/>
                <w:szCs w:val="16"/>
                <w:vertAlign w:val="superscript"/>
                <w:lang w:eastAsia="bg-BG"/>
              </w:rPr>
              <w:t>3</w:t>
            </w:r>
          </w:p>
        </w:tc>
        <w:tc>
          <w:tcPr>
            <w:tcW w:w="2666" w:type="dxa"/>
            <w:tcBorders>
              <w:top w:val="nil"/>
              <w:left w:val="nil"/>
              <w:bottom w:val="single" w:sz="4" w:space="0" w:color="auto"/>
              <w:right w:val="single" w:sz="4" w:space="0" w:color="auto"/>
            </w:tcBorders>
            <w:shd w:val="clear" w:color="auto" w:fill="auto"/>
            <w:noWrap/>
            <w:vAlign w:val="bottom"/>
            <w:hideMark/>
          </w:tcPr>
          <w:p w:rsidR="00834831" w:rsidRPr="00834831" w:rsidRDefault="00834831" w:rsidP="00834831">
            <w:pPr>
              <w:spacing w:after="0" w:line="240" w:lineRule="auto"/>
              <w:jc w:val="center"/>
              <w:rPr>
                <w:rFonts w:ascii="Times New Roman" w:eastAsia="Times New Roman" w:hAnsi="Times New Roman" w:cs="Times New Roman"/>
                <w:noProof w:val="0"/>
                <w:color w:val="FF0000"/>
                <w:sz w:val="16"/>
                <w:szCs w:val="16"/>
                <w:lang w:eastAsia="bg-BG"/>
              </w:rPr>
            </w:pPr>
            <w:r w:rsidRPr="00834831">
              <w:rPr>
                <w:rFonts w:ascii="Times New Roman" w:eastAsia="Times New Roman" w:hAnsi="Times New Roman" w:cs="Times New Roman"/>
                <w:noProof w:val="0"/>
                <w:color w:val="FF0000"/>
                <w:sz w:val="16"/>
                <w:szCs w:val="16"/>
                <w:lang w:eastAsia="bg-BG"/>
              </w:rPr>
              <w:t>0,00</w:t>
            </w:r>
          </w:p>
        </w:tc>
      </w:tr>
      <w:tr w:rsidR="00C31A61" w:rsidRPr="00834831" w:rsidTr="00C31A61">
        <w:trPr>
          <w:trHeight w:val="765"/>
        </w:trPr>
        <w:tc>
          <w:tcPr>
            <w:tcW w:w="220" w:type="dxa"/>
            <w:tcBorders>
              <w:top w:val="nil"/>
              <w:left w:val="single" w:sz="4" w:space="0" w:color="auto"/>
              <w:bottom w:val="single" w:sz="4" w:space="0" w:color="auto"/>
              <w:right w:val="single" w:sz="4" w:space="0" w:color="auto"/>
            </w:tcBorders>
            <w:shd w:val="clear" w:color="auto" w:fill="auto"/>
            <w:noWrap/>
            <w:hideMark/>
          </w:tcPr>
          <w:p w:rsidR="00834831" w:rsidRPr="00834831" w:rsidRDefault="00834831" w:rsidP="00834831">
            <w:pPr>
              <w:spacing w:after="0" w:line="240" w:lineRule="auto"/>
              <w:jc w:val="center"/>
              <w:rPr>
                <w:rFonts w:ascii="Times New Roman" w:eastAsia="Times New Roman" w:hAnsi="Times New Roman" w:cs="Times New Roman"/>
                <w:noProof w:val="0"/>
                <w:sz w:val="16"/>
                <w:szCs w:val="16"/>
                <w:lang w:eastAsia="bg-BG"/>
              </w:rPr>
            </w:pPr>
            <w:r w:rsidRPr="00834831">
              <w:rPr>
                <w:rFonts w:ascii="Times New Roman" w:eastAsia="Times New Roman" w:hAnsi="Times New Roman" w:cs="Times New Roman"/>
                <w:noProof w:val="0"/>
                <w:sz w:val="16"/>
                <w:szCs w:val="16"/>
                <w:lang w:eastAsia="bg-BG"/>
              </w:rPr>
              <w:t>5</w:t>
            </w:r>
          </w:p>
        </w:tc>
        <w:tc>
          <w:tcPr>
            <w:tcW w:w="5299" w:type="dxa"/>
            <w:tcBorders>
              <w:top w:val="nil"/>
              <w:left w:val="nil"/>
              <w:bottom w:val="single" w:sz="4" w:space="0" w:color="auto"/>
              <w:right w:val="single" w:sz="4" w:space="0" w:color="auto"/>
            </w:tcBorders>
            <w:shd w:val="clear" w:color="auto" w:fill="auto"/>
            <w:vAlign w:val="bottom"/>
            <w:hideMark/>
          </w:tcPr>
          <w:p w:rsidR="00834831" w:rsidRPr="00834831" w:rsidRDefault="00834831" w:rsidP="00834831">
            <w:pPr>
              <w:spacing w:after="0" w:line="240" w:lineRule="auto"/>
              <w:jc w:val="both"/>
              <w:rPr>
                <w:rFonts w:ascii="Times New Roman" w:eastAsia="Times New Roman" w:hAnsi="Times New Roman" w:cs="Times New Roman"/>
                <w:noProof w:val="0"/>
                <w:sz w:val="16"/>
                <w:szCs w:val="16"/>
                <w:lang w:eastAsia="bg-BG"/>
              </w:rPr>
            </w:pPr>
            <w:r w:rsidRPr="00834831">
              <w:rPr>
                <w:rFonts w:ascii="Times New Roman" w:eastAsia="Times New Roman" w:hAnsi="Times New Roman" w:cs="Times New Roman"/>
                <w:noProof w:val="0"/>
                <w:sz w:val="16"/>
                <w:szCs w:val="16"/>
                <w:lang w:eastAsia="bg-BG"/>
              </w:rPr>
              <w:t>Изкоп за съоръжения в земни почви, включително натоварване, транспортиране на определено разстояние, разтоварване на депо и оформянето му, съгласно изискванията на ТС.</w:t>
            </w:r>
          </w:p>
        </w:tc>
        <w:tc>
          <w:tcPr>
            <w:tcW w:w="1275" w:type="dxa"/>
            <w:tcBorders>
              <w:top w:val="nil"/>
              <w:left w:val="nil"/>
              <w:bottom w:val="single" w:sz="4" w:space="0" w:color="auto"/>
              <w:right w:val="single" w:sz="4" w:space="0" w:color="auto"/>
            </w:tcBorders>
            <w:shd w:val="clear" w:color="000000" w:fill="FFFFFF"/>
            <w:noWrap/>
            <w:vAlign w:val="bottom"/>
            <w:hideMark/>
          </w:tcPr>
          <w:p w:rsidR="00834831" w:rsidRPr="00834831" w:rsidRDefault="00834831" w:rsidP="00834831">
            <w:pPr>
              <w:spacing w:after="0" w:line="240" w:lineRule="auto"/>
              <w:jc w:val="center"/>
              <w:rPr>
                <w:rFonts w:ascii="Times New Roman" w:eastAsia="Times New Roman" w:hAnsi="Times New Roman" w:cs="Times New Roman"/>
                <w:noProof w:val="0"/>
                <w:sz w:val="16"/>
                <w:szCs w:val="16"/>
                <w:lang w:eastAsia="bg-BG"/>
              </w:rPr>
            </w:pPr>
            <w:r w:rsidRPr="00834831">
              <w:rPr>
                <w:rFonts w:ascii="Times New Roman" w:eastAsia="Times New Roman" w:hAnsi="Times New Roman" w:cs="Times New Roman"/>
                <w:noProof w:val="0"/>
                <w:sz w:val="16"/>
                <w:szCs w:val="16"/>
                <w:lang w:eastAsia="bg-BG"/>
              </w:rPr>
              <w:t>м</w:t>
            </w:r>
            <w:r w:rsidRPr="00834831">
              <w:rPr>
                <w:rFonts w:ascii="Times New Roman" w:eastAsia="Times New Roman" w:hAnsi="Times New Roman" w:cs="Times New Roman"/>
                <w:noProof w:val="0"/>
                <w:sz w:val="16"/>
                <w:szCs w:val="16"/>
                <w:vertAlign w:val="superscript"/>
                <w:lang w:eastAsia="bg-BG"/>
              </w:rPr>
              <w:t>3</w:t>
            </w:r>
          </w:p>
        </w:tc>
        <w:tc>
          <w:tcPr>
            <w:tcW w:w="2666" w:type="dxa"/>
            <w:tcBorders>
              <w:top w:val="nil"/>
              <w:left w:val="nil"/>
              <w:bottom w:val="single" w:sz="4" w:space="0" w:color="auto"/>
              <w:right w:val="single" w:sz="4" w:space="0" w:color="auto"/>
            </w:tcBorders>
            <w:shd w:val="clear" w:color="auto" w:fill="auto"/>
            <w:noWrap/>
            <w:vAlign w:val="bottom"/>
            <w:hideMark/>
          </w:tcPr>
          <w:p w:rsidR="00834831" w:rsidRPr="00834831" w:rsidRDefault="00834831" w:rsidP="00834831">
            <w:pPr>
              <w:spacing w:after="0" w:line="240" w:lineRule="auto"/>
              <w:jc w:val="center"/>
              <w:rPr>
                <w:rFonts w:ascii="Times New Roman" w:eastAsia="Times New Roman" w:hAnsi="Times New Roman" w:cs="Times New Roman"/>
                <w:noProof w:val="0"/>
                <w:color w:val="FF0000"/>
                <w:sz w:val="16"/>
                <w:szCs w:val="16"/>
                <w:lang w:eastAsia="bg-BG"/>
              </w:rPr>
            </w:pPr>
            <w:r w:rsidRPr="00834831">
              <w:rPr>
                <w:rFonts w:ascii="Times New Roman" w:eastAsia="Times New Roman" w:hAnsi="Times New Roman" w:cs="Times New Roman"/>
                <w:noProof w:val="0"/>
                <w:color w:val="FF0000"/>
                <w:sz w:val="16"/>
                <w:szCs w:val="16"/>
                <w:lang w:eastAsia="bg-BG"/>
              </w:rPr>
              <w:t>0,00</w:t>
            </w:r>
          </w:p>
        </w:tc>
      </w:tr>
    </w:tbl>
    <w:p w:rsidR="00E310F1" w:rsidRDefault="00E310F1" w:rsidP="00BD21AD">
      <w:pPr>
        <w:pStyle w:val="BodyText"/>
        <w:tabs>
          <w:tab w:val="center" w:pos="993"/>
        </w:tabs>
        <w:spacing w:line="276" w:lineRule="auto"/>
        <w:rPr>
          <w:rFonts w:cs="Times New Roman"/>
          <w:szCs w:val="24"/>
          <w:lang w:val="bg-BG"/>
        </w:rPr>
      </w:pPr>
    </w:p>
    <w:p w:rsidR="00C31A61" w:rsidRDefault="00C31A61" w:rsidP="00BD21AD">
      <w:pPr>
        <w:pStyle w:val="BodyText"/>
        <w:tabs>
          <w:tab w:val="center" w:pos="993"/>
        </w:tabs>
        <w:spacing w:line="276" w:lineRule="auto"/>
        <w:rPr>
          <w:rFonts w:cs="Times New Roman"/>
          <w:szCs w:val="24"/>
          <w:lang w:val="bg-BG"/>
        </w:rPr>
      </w:pPr>
    </w:p>
    <w:p w:rsidR="00C31A61" w:rsidRDefault="00C31A61" w:rsidP="00BD21AD">
      <w:pPr>
        <w:pStyle w:val="BodyText"/>
        <w:tabs>
          <w:tab w:val="center" w:pos="993"/>
        </w:tabs>
        <w:spacing w:line="276" w:lineRule="auto"/>
        <w:rPr>
          <w:rFonts w:cs="Times New Roman"/>
          <w:szCs w:val="24"/>
          <w:lang w:val="bg-BG"/>
        </w:rPr>
      </w:pPr>
    </w:p>
    <w:p w:rsidR="00C31A61" w:rsidRPr="004C782B" w:rsidRDefault="00C31A61" w:rsidP="00BD21AD">
      <w:pPr>
        <w:pStyle w:val="BodyText"/>
        <w:tabs>
          <w:tab w:val="center" w:pos="993"/>
        </w:tabs>
        <w:spacing w:line="276" w:lineRule="auto"/>
        <w:rPr>
          <w:rFonts w:cs="Times New Roman"/>
          <w:szCs w:val="24"/>
          <w:lang w:val="bg-BG"/>
        </w:rPr>
      </w:pPr>
    </w:p>
    <w:tbl>
      <w:tblPr>
        <w:tblW w:w="9460" w:type="dxa"/>
        <w:tblCellMar>
          <w:left w:w="70" w:type="dxa"/>
          <w:right w:w="70" w:type="dxa"/>
        </w:tblCellMar>
        <w:tblLook w:val="04A0" w:firstRow="1" w:lastRow="0" w:firstColumn="1" w:lastColumn="0" w:noHBand="0" w:noVBand="1"/>
      </w:tblPr>
      <w:tblGrid>
        <w:gridCol w:w="220"/>
        <w:gridCol w:w="5299"/>
        <w:gridCol w:w="1275"/>
        <w:gridCol w:w="2666"/>
      </w:tblGrid>
      <w:tr w:rsidR="00A53721" w:rsidRPr="00A53721" w:rsidTr="00A53721">
        <w:trPr>
          <w:trHeight w:val="269"/>
        </w:trPr>
        <w:tc>
          <w:tcPr>
            <w:tcW w:w="9460" w:type="dxa"/>
            <w:gridSpan w:val="4"/>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rsidR="00A53721" w:rsidRPr="00A53721" w:rsidRDefault="00A53721" w:rsidP="00A53721">
            <w:pPr>
              <w:spacing w:after="0" w:line="240" w:lineRule="auto"/>
              <w:rPr>
                <w:rFonts w:ascii="Times New Roman" w:eastAsia="Times New Roman" w:hAnsi="Times New Roman" w:cs="Times New Roman"/>
                <w:b/>
                <w:bCs/>
                <w:noProof w:val="0"/>
                <w:sz w:val="16"/>
                <w:szCs w:val="16"/>
                <w:lang w:eastAsia="bg-BG"/>
              </w:rPr>
            </w:pPr>
            <w:r w:rsidRPr="00A53721">
              <w:rPr>
                <w:rFonts w:ascii="Times New Roman" w:eastAsia="Times New Roman" w:hAnsi="Times New Roman" w:cs="Times New Roman"/>
                <w:b/>
                <w:bCs/>
                <w:noProof w:val="0"/>
                <w:sz w:val="16"/>
                <w:szCs w:val="16"/>
                <w:lang w:eastAsia="bg-BG"/>
              </w:rPr>
              <w:t>Обект:  "Изграждане на нов път PAZ 2063</w:t>
            </w:r>
            <w:r w:rsidRPr="00C31A61">
              <w:rPr>
                <w:rFonts w:ascii="Times New Roman" w:eastAsia="Times New Roman" w:hAnsi="Times New Roman" w:cs="Times New Roman"/>
                <w:b/>
                <w:bCs/>
                <w:noProof w:val="0"/>
                <w:sz w:val="16"/>
                <w:szCs w:val="16"/>
                <w:lang w:eastAsia="bg-BG"/>
              </w:rPr>
              <w:t>“</w:t>
            </w:r>
            <w:r w:rsidRPr="00A53721">
              <w:rPr>
                <w:rFonts w:ascii="Times New Roman" w:eastAsia="Times New Roman" w:hAnsi="Times New Roman" w:cs="Times New Roman"/>
                <w:b/>
                <w:bCs/>
                <w:noProof w:val="0"/>
                <w:sz w:val="16"/>
                <w:szCs w:val="16"/>
                <w:lang w:eastAsia="bg-BG"/>
              </w:rPr>
              <w:t xml:space="preserve"> </w:t>
            </w:r>
          </w:p>
        </w:tc>
      </w:tr>
      <w:tr w:rsidR="00A53721" w:rsidRPr="00A53721" w:rsidTr="00A53721">
        <w:trPr>
          <w:trHeight w:val="450"/>
        </w:trPr>
        <w:tc>
          <w:tcPr>
            <w:tcW w:w="9460" w:type="dxa"/>
            <w:gridSpan w:val="4"/>
            <w:vMerge/>
            <w:tcBorders>
              <w:top w:val="single" w:sz="8" w:space="0" w:color="auto"/>
              <w:left w:val="single" w:sz="8" w:space="0" w:color="auto"/>
              <w:bottom w:val="single" w:sz="8" w:space="0" w:color="000000"/>
              <w:right w:val="single" w:sz="8" w:space="0" w:color="000000"/>
            </w:tcBorders>
            <w:vAlign w:val="center"/>
            <w:hideMark/>
          </w:tcPr>
          <w:p w:rsidR="00A53721" w:rsidRPr="00A53721" w:rsidRDefault="00A53721" w:rsidP="00A53721">
            <w:pPr>
              <w:spacing w:after="0" w:line="240" w:lineRule="auto"/>
              <w:rPr>
                <w:rFonts w:ascii="Times New Roman" w:eastAsia="Times New Roman" w:hAnsi="Times New Roman" w:cs="Times New Roman"/>
                <w:b/>
                <w:bCs/>
                <w:noProof w:val="0"/>
                <w:sz w:val="16"/>
                <w:szCs w:val="16"/>
                <w:lang w:eastAsia="bg-BG"/>
              </w:rPr>
            </w:pPr>
          </w:p>
        </w:tc>
      </w:tr>
      <w:tr w:rsidR="00A53721" w:rsidRPr="00A53721" w:rsidTr="00C31A61">
        <w:trPr>
          <w:trHeight w:val="255"/>
        </w:trPr>
        <w:tc>
          <w:tcPr>
            <w:tcW w:w="220" w:type="dxa"/>
            <w:tcBorders>
              <w:top w:val="nil"/>
              <w:left w:val="single" w:sz="4" w:space="0" w:color="auto"/>
              <w:bottom w:val="single" w:sz="4" w:space="0" w:color="auto"/>
              <w:right w:val="single" w:sz="4" w:space="0" w:color="auto"/>
            </w:tcBorders>
            <w:shd w:val="clear" w:color="auto" w:fill="auto"/>
            <w:noWrap/>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 </w:t>
            </w:r>
          </w:p>
        </w:tc>
        <w:tc>
          <w:tcPr>
            <w:tcW w:w="5299" w:type="dxa"/>
            <w:tcBorders>
              <w:top w:val="nil"/>
              <w:left w:val="nil"/>
              <w:bottom w:val="single" w:sz="4" w:space="0" w:color="auto"/>
              <w:right w:val="single" w:sz="4" w:space="0" w:color="auto"/>
            </w:tcBorders>
            <w:shd w:val="clear" w:color="000000" w:fill="FFFFFF"/>
            <w:vAlign w:val="bottom"/>
            <w:hideMark/>
          </w:tcPr>
          <w:p w:rsidR="00A53721" w:rsidRPr="00A53721" w:rsidRDefault="00A53721" w:rsidP="00A53721">
            <w:pPr>
              <w:spacing w:after="0" w:line="240" w:lineRule="auto"/>
              <w:jc w:val="center"/>
              <w:rPr>
                <w:rFonts w:ascii="Times New Roman" w:eastAsia="Times New Roman" w:hAnsi="Times New Roman" w:cs="Times New Roman"/>
                <w:b/>
                <w:bCs/>
                <w:noProof w:val="0"/>
                <w:sz w:val="16"/>
                <w:szCs w:val="16"/>
                <w:u w:val="single"/>
                <w:lang w:eastAsia="bg-BG"/>
              </w:rPr>
            </w:pPr>
            <w:r w:rsidRPr="00A53721">
              <w:rPr>
                <w:rFonts w:ascii="Times New Roman" w:eastAsia="Times New Roman" w:hAnsi="Times New Roman" w:cs="Times New Roman"/>
                <w:b/>
                <w:bCs/>
                <w:noProof w:val="0"/>
                <w:sz w:val="16"/>
                <w:szCs w:val="16"/>
                <w:u w:val="single"/>
                <w:lang w:eastAsia="bg-BG"/>
              </w:rPr>
              <w:t>Сметка 1. Земни работи</w:t>
            </w:r>
          </w:p>
        </w:tc>
        <w:tc>
          <w:tcPr>
            <w:tcW w:w="1275" w:type="dxa"/>
            <w:tcBorders>
              <w:top w:val="nil"/>
              <w:left w:val="nil"/>
              <w:bottom w:val="single" w:sz="4" w:space="0" w:color="auto"/>
              <w:right w:val="single" w:sz="4" w:space="0" w:color="auto"/>
            </w:tcBorders>
            <w:shd w:val="clear" w:color="auto" w:fill="auto"/>
            <w:noWrap/>
            <w:vAlign w:val="bottom"/>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 </w:t>
            </w:r>
          </w:p>
        </w:tc>
        <w:tc>
          <w:tcPr>
            <w:tcW w:w="2666" w:type="dxa"/>
            <w:tcBorders>
              <w:top w:val="nil"/>
              <w:left w:val="nil"/>
              <w:bottom w:val="single" w:sz="4" w:space="0" w:color="auto"/>
              <w:right w:val="single" w:sz="4" w:space="0" w:color="auto"/>
            </w:tcBorders>
            <w:shd w:val="clear" w:color="auto" w:fill="auto"/>
            <w:noWrap/>
            <w:vAlign w:val="bottom"/>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 </w:t>
            </w:r>
          </w:p>
        </w:tc>
      </w:tr>
      <w:tr w:rsidR="00A53721" w:rsidRPr="00A53721" w:rsidTr="00C31A61">
        <w:trPr>
          <w:trHeight w:val="285"/>
        </w:trPr>
        <w:tc>
          <w:tcPr>
            <w:tcW w:w="220" w:type="dxa"/>
            <w:tcBorders>
              <w:top w:val="nil"/>
              <w:left w:val="single" w:sz="4" w:space="0" w:color="auto"/>
              <w:bottom w:val="single" w:sz="4" w:space="0" w:color="auto"/>
              <w:right w:val="single" w:sz="4" w:space="0" w:color="auto"/>
            </w:tcBorders>
            <w:shd w:val="clear" w:color="auto" w:fill="auto"/>
            <w:noWrap/>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1</w:t>
            </w:r>
          </w:p>
        </w:tc>
        <w:tc>
          <w:tcPr>
            <w:tcW w:w="5299" w:type="dxa"/>
            <w:tcBorders>
              <w:top w:val="nil"/>
              <w:left w:val="nil"/>
              <w:bottom w:val="single" w:sz="4" w:space="0" w:color="auto"/>
              <w:right w:val="single" w:sz="4" w:space="0" w:color="auto"/>
            </w:tcBorders>
            <w:shd w:val="clear" w:color="auto" w:fill="auto"/>
            <w:vAlign w:val="bottom"/>
            <w:hideMark/>
          </w:tcPr>
          <w:p w:rsidR="00A53721" w:rsidRPr="00A53721" w:rsidRDefault="00A53721" w:rsidP="00A53721">
            <w:pPr>
              <w:spacing w:after="0" w:line="240" w:lineRule="auto"/>
              <w:jc w:val="both"/>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Почистване храсти и дървета с диаметър до 10см</w:t>
            </w:r>
          </w:p>
        </w:tc>
        <w:tc>
          <w:tcPr>
            <w:tcW w:w="1275" w:type="dxa"/>
            <w:tcBorders>
              <w:top w:val="nil"/>
              <w:left w:val="nil"/>
              <w:bottom w:val="single" w:sz="4" w:space="0" w:color="auto"/>
              <w:right w:val="single" w:sz="4" w:space="0" w:color="auto"/>
            </w:tcBorders>
            <w:shd w:val="clear" w:color="auto" w:fill="auto"/>
            <w:noWrap/>
            <w:vAlign w:val="bottom"/>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м</w:t>
            </w:r>
            <w:r w:rsidRPr="00A53721">
              <w:rPr>
                <w:rFonts w:ascii="Times New Roman" w:eastAsia="Times New Roman" w:hAnsi="Times New Roman" w:cs="Times New Roman"/>
                <w:noProof w:val="0"/>
                <w:sz w:val="16"/>
                <w:szCs w:val="16"/>
                <w:vertAlign w:val="superscript"/>
                <w:lang w:eastAsia="bg-BG"/>
              </w:rPr>
              <w:t>2</w:t>
            </w:r>
          </w:p>
        </w:tc>
        <w:tc>
          <w:tcPr>
            <w:tcW w:w="2666" w:type="dxa"/>
            <w:tcBorders>
              <w:top w:val="nil"/>
              <w:left w:val="nil"/>
              <w:bottom w:val="single" w:sz="4" w:space="0" w:color="auto"/>
              <w:right w:val="single" w:sz="4" w:space="0" w:color="auto"/>
            </w:tcBorders>
            <w:shd w:val="clear" w:color="auto" w:fill="auto"/>
            <w:noWrap/>
            <w:vAlign w:val="bottom"/>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120,00</w:t>
            </w:r>
          </w:p>
        </w:tc>
      </w:tr>
      <w:tr w:rsidR="00A53721" w:rsidRPr="00A53721" w:rsidTr="00C31A61">
        <w:trPr>
          <w:trHeight w:val="428"/>
        </w:trPr>
        <w:tc>
          <w:tcPr>
            <w:tcW w:w="220" w:type="dxa"/>
            <w:tcBorders>
              <w:top w:val="nil"/>
              <w:left w:val="single" w:sz="4" w:space="0" w:color="auto"/>
              <w:bottom w:val="single" w:sz="4" w:space="0" w:color="auto"/>
              <w:right w:val="single" w:sz="4" w:space="0" w:color="auto"/>
            </w:tcBorders>
            <w:shd w:val="clear" w:color="auto" w:fill="auto"/>
            <w:noWrap/>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2</w:t>
            </w:r>
          </w:p>
        </w:tc>
        <w:tc>
          <w:tcPr>
            <w:tcW w:w="5299" w:type="dxa"/>
            <w:tcBorders>
              <w:top w:val="nil"/>
              <w:left w:val="nil"/>
              <w:bottom w:val="single" w:sz="4" w:space="0" w:color="auto"/>
              <w:right w:val="single" w:sz="4" w:space="0" w:color="auto"/>
            </w:tcBorders>
            <w:shd w:val="clear" w:color="auto" w:fill="auto"/>
            <w:vAlign w:val="bottom"/>
            <w:hideMark/>
          </w:tcPr>
          <w:p w:rsidR="00A53721" w:rsidRPr="00A53721" w:rsidRDefault="00A53721" w:rsidP="00A53721">
            <w:pPr>
              <w:spacing w:after="0" w:line="240" w:lineRule="auto"/>
              <w:jc w:val="both"/>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 xml:space="preserve">Разкъртване на съществуващи водостоци и крила към тях, транспортиране на определено </w:t>
            </w:r>
            <w:proofErr w:type="spellStart"/>
            <w:r w:rsidRPr="00A53721">
              <w:rPr>
                <w:rFonts w:ascii="Times New Roman" w:eastAsia="Times New Roman" w:hAnsi="Times New Roman" w:cs="Times New Roman"/>
                <w:noProof w:val="0"/>
                <w:sz w:val="16"/>
                <w:szCs w:val="16"/>
                <w:lang w:eastAsia="bg-BG"/>
              </w:rPr>
              <w:t>растояние</w:t>
            </w:r>
            <w:proofErr w:type="spellEnd"/>
            <w:r w:rsidRPr="00A53721">
              <w:rPr>
                <w:rFonts w:ascii="Times New Roman" w:eastAsia="Times New Roman" w:hAnsi="Times New Roman" w:cs="Times New Roman"/>
                <w:noProof w:val="0"/>
                <w:sz w:val="16"/>
                <w:szCs w:val="16"/>
                <w:lang w:eastAsia="bg-BG"/>
              </w:rPr>
              <w:t xml:space="preserve">, разтоварване на депо и оформянето му съгласно изискванията на ТС. </w:t>
            </w:r>
          </w:p>
        </w:tc>
        <w:tc>
          <w:tcPr>
            <w:tcW w:w="1275" w:type="dxa"/>
            <w:tcBorders>
              <w:top w:val="nil"/>
              <w:left w:val="nil"/>
              <w:bottom w:val="single" w:sz="4" w:space="0" w:color="auto"/>
              <w:right w:val="single" w:sz="4" w:space="0" w:color="auto"/>
            </w:tcBorders>
            <w:shd w:val="clear" w:color="auto" w:fill="auto"/>
            <w:noWrap/>
            <w:vAlign w:val="bottom"/>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м</w:t>
            </w:r>
            <w:r w:rsidRPr="00A53721">
              <w:rPr>
                <w:rFonts w:ascii="Times New Roman" w:eastAsia="Times New Roman" w:hAnsi="Times New Roman" w:cs="Times New Roman"/>
                <w:noProof w:val="0"/>
                <w:sz w:val="16"/>
                <w:szCs w:val="16"/>
                <w:vertAlign w:val="superscript"/>
                <w:lang w:eastAsia="bg-BG"/>
              </w:rPr>
              <w:t>3</w:t>
            </w:r>
          </w:p>
        </w:tc>
        <w:tc>
          <w:tcPr>
            <w:tcW w:w="2666" w:type="dxa"/>
            <w:tcBorders>
              <w:top w:val="nil"/>
              <w:left w:val="nil"/>
              <w:bottom w:val="single" w:sz="4" w:space="0" w:color="auto"/>
              <w:right w:val="single" w:sz="4" w:space="0" w:color="auto"/>
            </w:tcBorders>
            <w:shd w:val="clear" w:color="auto" w:fill="auto"/>
            <w:noWrap/>
            <w:vAlign w:val="bottom"/>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8,00</w:t>
            </w:r>
          </w:p>
        </w:tc>
      </w:tr>
      <w:tr w:rsidR="00A53721" w:rsidRPr="00A53721" w:rsidTr="00C31A61">
        <w:trPr>
          <w:trHeight w:val="419"/>
        </w:trPr>
        <w:tc>
          <w:tcPr>
            <w:tcW w:w="220" w:type="dxa"/>
            <w:tcBorders>
              <w:top w:val="nil"/>
              <w:left w:val="single" w:sz="4" w:space="0" w:color="auto"/>
              <w:bottom w:val="single" w:sz="4" w:space="0" w:color="auto"/>
              <w:right w:val="single" w:sz="4" w:space="0" w:color="auto"/>
            </w:tcBorders>
            <w:shd w:val="clear" w:color="auto" w:fill="auto"/>
            <w:noWrap/>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3</w:t>
            </w:r>
          </w:p>
        </w:tc>
        <w:tc>
          <w:tcPr>
            <w:tcW w:w="5299" w:type="dxa"/>
            <w:tcBorders>
              <w:top w:val="nil"/>
              <w:left w:val="nil"/>
              <w:bottom w:val="single" w:sz="4" w:space="0" w:color="auto"/>
              <w:right w:val="single" w:sz="4" w:space="0" w:color="auto"/>
            </w:tcBorders>
            <w:shd w:val="clear" w:color="auto" w:fill="auto"/>
            <w:vAlign w:val="bottom"/>
            <w:hideMark/>
          </w:tcPr>
          <w:p w:rsidR="00A53721" w:rsidRPr="00A53721" w:rsidRDefault="00A53721" w:rsidP="00A53721">
            <w:pPr>
              <w:spacing w:after="0" w:line="240" w:lineRule="auto"/>
              <w:jc w:val="both"/>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 xml:space="preserve">Изкоп земни почви, включително натоварване, транспортиране на определено </w:t>
            </w:r>
            <w:proofErr w:type="spellStart"/>
            <w:r w:rsidRPr="00A53721">
              <w:rPr>
                <w:rFonts w:ascii="Times New Roman" w:eastAsia="Times New Roman" w:hAnsi="Times New Roman" w:cs="Times New Roman"/>
                <w:noProof w:val="0"/>
                <w:sz w:val="16"/>
                <w:szCs w:val="16"/>
                <w:lang w:eastAsia="bg-BG"/>
              </w:rPr>
              <w:t>растояние</w:t>
            </w:r>
            <w:proofErr w:type="spellEnd"/>
            <w:r w:rsidRPr="00A53721">
              <w:rPr>
                <w:rFonts w:ascii="Times New Roman" w:eastAsia="Times New Roman" w:hAnsi="Times New Roman" w:cs="Times New Roman"/>
                <w:noProof w:val="0"/>
                <w:sz w:val="16"/>
                <w:szCs w:val="16"/>
                <w:lang w:eastAsia="bg-BG"/>
              </w:rPr>
              <w:t xml:space="preserve">, разтоварване на депо и оформянето му съгласно изискванията на ТС. </w:t>
            </w:r>
          </w:p>
        </w:tc>
        <w:tc>
          <w:tcPr>
            <w:tcW w:w="1275" w:type="dxa"/>
            <w:tcBorders>
              <w:top w:val="nil"/>
              <w:left w:val="nil"/>
              <w:bottom w:val="single" w:sz="4" w:space="0" w:color="auto"/>
              <w:right w:val="single" w:sz="4" w:space="0" w:color="auto"/>
            </w:tcBorders>
            <w:shd w:val="clear" w:color="auto" w:fill="auto"/>
            <w:noWrap/>
            <w:vAlign w:val="bottom"/>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м</w:t>
            </w:r>
            <w:r w:rsidRPr="00A53721">
              <w:rPr>
                <w:rFonts w:ascii="Times New Roman" w:eastAsia="Times New Roman" w:hAnsi="Times New Roman" w:cs="Times New Roman"/>
                <w:noProof w:val="0"/>
                <w:sz w:val="16"/>
                <w:szCs w:val="16"/>
                <w:vertAlign w:val="superscript"/>
                <w:lang w:eastAsia="bg-BG"/>
              </w:rPr>
              <w:t>3</w:t>
            </w:r>
          </w:p>
        </w:tc>
        <w:tc>
          <w:tcPr>
            <w:tcW w:w="2666" w:type="dxa"/>
            <w:tcBorders>
              <w:top w:val="nil"/>
              <w:left w:val="nil"/>
              <w:bottom w:val="single" w:sz="4" w:space="0" w:color="auto"/>
              <w:right w:val="single" w:sz="4" w:space="0" w:color="auto"/>
            </w:tcBorders>
            <w:shd w:val="clear" w:color="auto" w:fill="auto"/>
            <w:noWrap/>
            <w:vAlign w:val="bottom"/>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172,76</w:t>
            </w:r>
          </w:p>
        </w:tc>
      </w:tr>
      <w:tr w:rsidR="00A53721" w:rsidRPr="00A53721" w:rsidTr="00C31A61">
        <w:trPr>
          <w:trHeight w:val="411"/>
        </w:trPr>
        <w:tc>
          <w:tcPr>
            <w:tcW w:w="220" w:type="dxa"/>
            <w:tcBorders>
              <w:top w:val="nil"/>
              <w:left w:val="single" w:sz="4" w:space="0" w:color="auto"/>
              <w:bottom w:val="single" w:sz="4" w:space="0" w:color="auto"/>
              <w:right w:val="single" w:sz="4" w:space="0" w:color="auto"/>
            </w:tcBorders>
            <w:shd w:val="clear" w:color="auto" w:fill="auto"/>
            <w:noWrap/>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4</w:t>
            </w:r>
          </w:p>
        </w:tc>
        <w:tc>
          <w:tcPr>
            <w:tcW w:w="5299" w:type="dxa"/>
            <w:tcBorders>
              <w:top w:val="nil"/>
              <w:left w:val="nil"/>
              <w:bottom w:val="single" w:sz="4" w:space="0" w:color="auto"/>
              <w:right w:val="single" w:sz="4" w:space="0" w:color="auto"/>
            </w:tcBorders>
            <w:shd w:val="clear" w:color="auto" w:fill="auto"/>
            <w:vAlign w:val="bottom"/>
            <w:hideMark/>
          </w:tcPr>
          <w:p w:rsidR="00A53721" w:rsidRPr="00A53721" w:rsidRDefault="00A53721" w:rsidP="00A53721">
            <w:pPr>
              <w:spacing w:after="0" w:line="240" w:lineRule="auto"/>
              <w:jc w:val="both"/>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 xml:space="preserve">Изкоп скални почви за отваряне на габарита, включително натоварване, транспортиране на определено </w:t>
            </w:r>
            <w:proofErr w:type="spellStart"/>
            <w:r w:rsidRPr="00A53721">
              <w:rPr>
                <w:rFonts w:ascii="Times New Roman" w:eastAsia="Times New Roman" w:hAnsi="Times New Roman" w:cs="Times New Roman"/>
                <w:noProof w:val="0"/>
                <w:sz w:val="16"/>
                <w:szCs w:val="16"/>
                <w:lang w:eastAsia="bg-BG"/>
              </w:rPr>
              <w:t>растояние</w:t>
            </w:r>
            <w:proofErr w:type="spellEnd"/>
            <w:r w:rsidRPr="00A53721">
              <w:rPr>
                <w:rFonts w:ascii="Times New Roman" w:eastAsia="Times New Roman" w:hAnsi="Times New Roman" w:cs="Times New Roman"/>
                <w:noProof w:val="0"/>
                <w:sz w:val="16"/>
                <w:szCs w:val="16"/>
                <w:lang w:eastAsia="bg-BG"/>
              </w:rPr>
              <w:t xml:space="preserve">, разтоварване на депо и оформянето му съгласно изискванията на ТС. </w:t>
            </w:r>
          </w:p>
        </w:tc>
        <w:tc>
          <w:tcPr>
            <w:tcW w:w="1275" w:type="dxa"/>
            <w:tcBorders>
              <w:top w:val="nil"/>
              <w:left w:val="nil"/>
              <w:bottom w:val="single" w:sz="4" w:space="0" w:color="auto"/>
              <w:right w:val="single" w:sz="4" w:space="0" w:color="auto"/>
            </w:tcBorders>
            <w:shd w:val="clear" w:color="auto" w:fill="auto"/>
            <w:noWrap/>
            <w:vAlign w:val="bottom"/>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м</w:t>
            </w:r>
            <w:r w:rsidRPr="00A53721">
              <w:rPr>
                <w:rFonts w:ascii="Times New Roman" w:eastAsia="Times New Roman" w:hAnsi="Times New Roman" w:cs="Times New Roman"/>
                <w:noProof w:val="0"/>
                <w:sz w:val="16"/>
                <w:szCs w:val="16"/>
                <w:vertAlign w:val="superscript"/>
                <w:lang w:eastAsia="bg-BG"/>
              </w:rPr>
              <w:t>3</w:t>
            </w:r>
          </w:p>
        </w:tc>
        <w:tc>
          <w:tcPr>
            <w:tcW w:w="2666" w:type="dxa"/>
            <w:tcBorders>
              <w:top w:val="nil"/>
              <w:left w:val="nil"/>
              <w:bottom w:val="single" w:sz="4" w:space="0" w:color="auto"/>
              <w:right w:val="single" w:sz="4" w:space="0" w:color="auto"/>
            </w:tcBorders>
            <w:shd w:val="clear" w:color="auto" w:fill="auto"/>
            <w:noWrap/>
            <w:vAlign w:val="bottom"/>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319,20</w:t>
            </w:r>
          </w:p>
        </w:tc>
      </w:tr>
      <w:tr w:rsidR="00A53721" w:rsidRPr="00A53721" w:rsidTr="00C31A61">
        <w:trPr>
          <w:trHeight w:val="417"/>
        </w:trPr>
        <w:tc>
          <w:tcPr>
            <w:tcW w:w="220" w:type="dxa"/>
            <w:tcBorders>
              <w:top w:val="nil"/>
              <w:left w:val="single" w:sz="4" w:space="0" w:color="auto"/>
              <w:bottom w:val="single" w:sz="4" w:space="0" w:color="auto"/>
              <w:right w:val="single" w:sz="4" w:space="0" w:color="auto"/>
            </w:tcBorders>
            <w:shd w:val="clear" w:color="auto" w:fill="auto"/>
            <w:noWrap/>
            <w:hideMark/>
          </w:tcPr>
          <w:p w:rsidR="00A53721" w:rsidRPr="00A53721" w:rsidRDefault="00A53721" w:rsidP="00A53721">
            <w:pPr>
              <w:spacing w:after="0" w:line="240" w:lineRule="auto"/>
              <w:jc w:val="center"/>
              <w:rPr>
                <w:rFonts w:ascii="Times New Roman" w:eastAsia="Times New Roman" w:hAnsi="Times New Roman" w:cs="Times New Roman"/>
                <w:noProof w:val="0"/>
                <w:color w:val="FF0000"/>
                <w:sz w:val="16"/>
                <w:szCs w:val="16"/>
                <w:lang w:eastAsia="bg-BG"/>
              </w:rPr>
            </w:pPr>
            <w:r w:rsidRPr="00A53721">
              <w:rPr>
                <w:rFonts w:ascii="Times New Roman" w:eastAsia="Times New Roman" w:hAnsi="Times New Roman" w:cs="Times New Roman"/>
                <w:noProof w:val="0"/>
                <w:color w:val="FF0000"/>
                <w:sz w:val="16"/>
                <w:szCs w:val="16"/>
                <w:lang w:eastAsia="bg-BG"/>
              </w:rPr>
              <w:t>5</w:t>
            </w:r>
          </w:p>
        </w:tc>
        <w:tc>
          <w:tcPr>
            <w:tcW w:w="5299" w:type="dxa"/>
            <w:tcBorders>
              <w:top w:val="nil"/>
              <w:left w:val="nil"/>
              <w:bottom w:val="single" w:sz="4" w:space="0" w:color="auto"/>
              <w:right w:val="single" w:sz="4" w:space="0" w:color="auto"/>
            </w:tcBorders>
            <w:shd w:val="clear" w:color="auto" w:fill="auto"/>
            <w:vAlign w:val="bottom"/>
            <w:hideMark/>
          </w:tcPr>
          <w:p w:rsidR="00A53721" w:rsidRPr="00A53721" w:rsidRDefault="00A53721" w:rsidP="00A53721">
            <w:pPr>
              <w:spacing w:after="0" w:line="240" w:lineRule="auto"/>
              <w:jc w:val="both"/>
              <w:rPr>
                <w:rFonts w:ascii="Times New Roman" w:eastAsia="Times New Roman" w:hAnsi="Times New Roman" w:cs="Times New Roman"/>
                <w:noProof w:val="0"/>
                <w:color w:val="FF0000"/>
                <w:sz w:val="16"/>
                <w:szCs w:val="16"/>
                <w:lang w:eastAsia="bg-BG"/>
              </w:rPr>
            </w:pPr>
            <w:r w:rsidRPr="00A53721">
              <w:rPr>
                <w:rFonts w:ascii="Times New Roman" w:eastAsia="Times New Roman" w:hAnsi="Times New Roman" w:cs="Times New Roman"/>
                <w:noProof w:val="0"/>
                <w:color w:val="FF0000"/>
                <w:sz w:val="16"/>
                <w:szCs w:val="16"/>
                <w:lang w:eastAsia="bg-BG"/>
              </w:rPr>
              <w:t>Изкоп за окопи и дренажи, включително натоварване, транспортиране на определено разстояние, разтоварване на депо и оформянето му, съгласно изискванията на ТС.</w:t>
            </w:r>
          </w:p>
        </w:tc>
        <w:tc>
          <w:tcPr>
            <w:tcW w:w="1275" w:type="dxa"/>
            <w:tcBorders>
              <w:top w:val="nil"/>
              <w:left w:val="nil"/>
              <w:bottom w:val="single" w:sz="4" w:space="0" w:color="auto"/>
              <w:right w:val="single" w:sz="4" w:space="0" w:color="auto"/>
            </w:tcBorders>
            <w:shd w:val="clear" w:color="auto" w:fill="auto"/>
            <w:noWrap/>
            <w:vAlign w:val="bottom"/>
            <w:hideMark/>
          </w:tcPr>
          <w:p w:rsidR="00A53721" w:rsidRPr="00A53721" w:rsidRDefault="00A53721" w:rsidP="00A53721">
            <w:pPr>
              <w:spacing w:after="0" w:line="240" w:lineRule="auto"/>
              <w:jc w:val="center"/>
              <w:rPr>
                <w:rFonts w:ascii="Times New Roman" w:eastAsia="Times New Roman" w:hAnsi="Times New Roman" w:cs="Times New Roman"/>
                <w:noProof w:val="0"/>
                <w:color w:val="FF0000"/>
                <w:sz w:val="16"/>
                <w:szCs w:val="16"/>
                <w:lang w:eastAsia="bg-BG"/>
              </w:rPr>
            </w:pPr>
            <w:r w:rsidRPr="00A53721">
              <w:rPr>
                <w:rFonts w:ascii="Times New Roman" w:eastAsia="Times New Roman" w:hAnsi="Times New Roman" w:cs="Times New Roman"/>
                <w:noProof w:val="0"/>
                <w:color w:val="FF0000"/>
                <w:sz w:val="16"/>
                <w:szCs w:val="16"/>
                <w:lang w:eastAsia="bg-BG"/>
              </w:rPr>
              <w:t>м</w:t>
            </w:r>
            <w:r w:rsidRPr="00A53721">
              <w:rPr>
                <w:rFonts w:ascii="Times New Roman" w:eastAsia="Times New Roman" w:hAnsi="Times New Roman" w:cs="Times New Roman"/>
                <w:noProof w:val="0"/>
                <w:color w:val="FF0000"/>
                <w:sz w:val="16"/>
                <w:szCs w:val="16"/>
                <w:vertAlign w:val="superscript"/>
                <w:lang w:eastAsia="bg-BG"/>
              </w:rPr>
              <w:t>3</w:t>
            </w:r>
          </w:p>
        </w:tc>
        <w:tc>
          <w:tcPr>
            <w:tcW w:w="2666" w:type="dxa"/>
            <w:tcBorders>
              <w:top w:val="nil"/>
              <w:left w:val="nil"/>
              <w:bottom w:val="single" w:sz="4" w:space="0" w:color="auto"/>
              <w:right w:val="single" w:sz="4" w:space="0" w:color="auto"/>
            </w:tcBorders>
            <w:shd w:val="clear" w:color="auto" w:fill="auto"/>
            <w:noWrap/>
            <w:vAlign w:val="bottom"/>
            <w:hideMark/>
          </w:tcPr>
          <w:p w:rsidR="00A53721" w:rsidRPr="00C31A61" w:rsidRDefault="00AC0270" w:rsidP="00A53721">
            <w:pPr>
              <w:spacing w:after="0" w:line="240" w:lineRule="auto"/>
              <w:jc w:val="center"/>
              <w:rPr>
                <w:rFonts w:ascii="Times New Roman" w:eastAsia="Times New Roman" w:hAnsi="Times New Roman" w:cs="Times New Roman"/>
                <w:noProof w:val="0"/>
                <w:color w:val="FF0000"/>
                <w:sz w:val="16"/>
                <w:szCs w:val="16"/>
                <w:lang w:eastAsia="bg-BG"/>
              </w:rPr>
            </w:pPr>
            <w:r w:rsidRPr="00C31A61">
              <w:rPr>
                <w:rFonts w:ascii="Times New Roman" w:eastAsia="Times New Roman" w:hAnsi="Times New Roman" w:cs="Times New Roman"/>
                <w:noProof w:val="0"/>
                <w:color w:val="FF0000"/>
                <w:sz w:val="16"/>
                <w:szCs w:val="16"/>
                <w:lang w:eastAsia="bg-BG"/>
              </w:rPr>
              <w:t>0,00</w:t>
            </w:r>
          </w:p>
          <w:p w:rsidR="00AC0270" w:rsidRPr="00A53721" w:rsidRDefault="00AC0270" w:rsidP="00A53721">
            <w:pPr>
              <w:spacing w:after="0" w:line="240" w:lineRule="auto"/>
              <w:jc w:val="center"/>
              <w:rPr>
                <w:rFonts w:ascii="Times New Roman" w:eastAsia="Times New Roman" w:hAnsi="Times New Roman" w:cs="Times New Roman"/>
                <w:noProof w:val="0"/>
                <w:color w:val="FF0000"/>
                <w:sz w:val="16"/>
                <w:szCs w:val="16"/>
                <w:lang w:eastAsia="bg-BG"/>
              </w:rPr>
            </w:pPr>
          </w:p>
        </w:tc>
      </w:tr>
      <w:tr w:rsidR="00A53721" w:rsidRPr="00A53721" w:rsidTr="00C31A61">
        <w:trPr>
          <w:trHeight w:val="423"/>
        </w:trPr>
        <w:tc>
          <w:tcPr>
            <w:tcW w:w="220" w:type="dxa"/>
            <w:tcBorders>
              <w:top w:val="nil"/>
              <w:left w:val="single" w:sz="4" w:space="0" w:color="auto"/>
              <w:bottom w:val="single" w:sz="4" w:space="0" w:color="auto"/>
              <w:right w:val="single" w:sz="4" w:space="0" w:color="auto"/>
            </w:tcBorders>
            <w:shd w:val="clear" w:color="auto" w:fill="auto"/>
            <w:noWrap/>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6</w:t>
            </w:r>
          </w:p>
        </w:tc>
        <w:tc>
          <w:tcPr>
            <w:tcW w:w="5299" w:type="dxa"/>
            <w:tcBorders>
              <w:top w:val="nil"/>
              <w:left w:val="nil"/>
              <w:bottom w:val="single" w:sz="4" w:space="0" w:color="auto"/>
              <w:right w:val="single" w:sz="4" w:space="0" w:color="auto"/>
            </w:tcBorders>
            <w:shd w:val="clear" w:color="auto" w:fill="auto"/>
            <w:vAlign w:val="bottom"/>
            <w:hideMark/>
          </w:tcPr>
          <w:p w:rsidR="00A53721" w:rsidRPr="00A53721" w:rsidRDefault="00A53721" w:rsidP="00A53721">
            <w:pPr>
              <w:spacing w:after="0" w:line="240" w:lineRule="auto"/>
              <w:jc w:val="both"/>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Изкоп за съоръжения в земни почви, включително натоварване, транспортиране на определено разстояние, разтоварване на депо и оформянето му, съгласно изискванията на ТС.</w:t>
            </w:r>
          </w:p>
        </w:tc>
        <w:tc>
          <w:tcPr>
            <w:tcW w:w="1275" w:type="dxa"/>
            <w:tcBorders>
              <w:top w:val="nil"/>
              <w:left w:val="nil"/>
              <w:bottom w:val="single" w:sz="4" w:space="0" w:color="auto"/>
              <w:right w:val="single" w:sz="4" w:space="0" w:color="auto"/>
            </w:tcBorders>
            <w:shd w:val="clear" w:color="auto" w:fill="auto"/>
            <w:noWrap/>
            <w:vAlign w:val="bottom"/>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м</w:t>
            </w:r>
            <w:r w:rsidRPr="00A53721">
              <w:rPr>
                <w:rFonts w:ascii="Times New Roman" w:eastAsia="Times New Roman" w:hAnsi="Times New Roman" w:cs="Times New Roman"/>
                <w:noProof w:val="0"/>
                <w:sz w:val="16"/>
                <w:szCs w:val="16"/>
                <w:vertAlign w:val="superscript"/>
                <w:lang w:eastAsia="bg-BG"/>
              </w:rPr>
              <w:t>3</w:t>
            </w:r>
          </w:p>
        </w:tc>
        <w:tc>
          <w:tcPr>
            <w:tcW w:w="2666" w:type="dxa"/>
            <w:tcBorders>
              <w:top w:val="nil"/>
              <w:left w:val="nil"/>
              <w:bottom w:val="single" w:sz="4" w:space="0" w:color="auto"/>
              <w:right w:val="single" w:sz="4" w:space="0" w:color="auto"/>
            </w:tcBorders>
            <w:shd w:val="clear" w:color="auto" w:fill="auto"/>
            <w:noWrap/>
            <w:vAlign w:val="bottom"/>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98,00</w:t>
            </w:r>
          </w:p>
        </w:tc>
      </w:tr>
      <w:tr w:rsidR="00A53721" w:rsidRPr="00A53721" w:rsidTr="00C31A61">
        <w:trPr>
          <w:trHeight w:val="401"/>
        </w:trPr>
        <w:tc>
          <w:tcPr>
            <w:tcW w:w="220" w:type="dxa"/>
            <w:tcBorders>
              <w:top w:val="nil"/>
              <w:left w:val="single" w:sz="4" w:space="0" w:color="auto"/>
              <w:bottom w:val="single" w:sz="4" w:space="0" w:color="auto"/>
              <w:right w:val="single" w:sz="4" w:space="0" w:color="auto"/>
            </w:tcBorders>
            <w:shd w:val="clear" w:color="auto" w:fill="auto"/>
            <w:noWrap/>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7</w:t>
            </w:r>
          </w:p>
        </w:tc>
        <w:tc>
          <w:tcPr>
            <w:tcW w:w="5299" w:type="dxa"/>
            <w:tcBorders>
              <w:top w:val="nil"/>
              <w:left w:val="nil"/>
              <w:bottom w:val="single" w:sz="4" w:space="0" w:color="auto"/>
              <w:right w:val="single" w:sz="4" w:space="0" w:color="auto"/>
            </w:tcBorders>
            <w:shd w:val="clear" w:color="auto" w:fill="auto"/>
            <w:vAlign w:val="bottom"/>
            <w:hideMark/>
          </w:tcPr>
          <w:p w:rsidR="00A53721" w:rsidRPr="00A53721" w:rsidRDefault="00A53721" w:rsidP="00A53721">
            <w:pPr>
              <w:spacing w:after="0" w:line="240" w:lineRule="auto"/>
              <w:jc w:val="both"/>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Изкоп хумус, включително натоварване, транспортиране на определено разстояние, разтоварване на депо и оформянето му, съгласно изискванията на ТС.</w:t>
            </w:r>
          </w:p>
        </w:tc>
        <w:tc>
          <w:tcPr>
            <w:tcW w:w="1275" w:type="dxa"/>
            <w:tcBorders>
              <w:top w:val="nil"/>
              <w:left w:val="nil"/>
              <w:bottom w:val="single" w:sz="4" w:space="0" w:color="auto"/>
              <w:right w:val="single" w:sz="4" w:space="0" w:color="auto"/>
            </w:tcBorders>
            <w:shd w:val="clear" w:color="auto" w:fill="auto"/>
            <w:noWrap/>
            <w:vAlign w:val="bottom"/>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м</w:t>
            </w:r>
            <w:r w:rsidRPr="00A53721">
              <w:rPr>
                <w:rFonts w:ascii="Times New Roman" w:eastAsia="Times New Roman" w:hAnsi="Times New Roman" w:cs="Times New Roman"/>
                <w:noProof w:val="0"/>
                <w:sz w:val="16"/>
                <w:szCs w:val="16"/>
                <w:vertAlign w:val="superscript"/>
                <w:lang w:eastAsia="bg-BG"/>
              </w:rPr>
              <w:t>3</w:t>
            </w:r>
          </w:p>
        </w:tc>
        <w:tc>
          <w:tcPr>
            <w:tcW w:w="2666" w:type="dxa"/>
            <w:tcBorders>
              <w:top w:val="nil"/>
              <w:left w:val="nil"/>
              <w:bottom w:val="single" w:sz="4" w:space="0" w:color="auto"/>
              <w:right w:val="single" w:sz="4" w:space="0" w:color="auto"/>
            </w:tcBorders>
            <w:shd w:val="clear" w:color="auto" w:fill="auto"/>
            <w:noWrap/>
            <w:vAlign w:val="bottom"/>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1 368,49</w:t>
            </w:r>
          </w:p>
        </w:tc>
      </w:tr>
      <w:tr w:rsidR="00A53721" w:rsidRPr="00A53721" w:rsidTr="00C31A61">
        <w:trPr>
          <w:trHeight w:val="421"/>
        </w:trPr>
        <w:tc>
          <w:tcPr>
            <w:tcW w:w="220" w:type="dxa"/>
            <w:tcBorders>
              <w:top w:val="nil"/>
              <w:left w:val="single" w:sz="4" w:space="0" w:color="auto"/>
              <w:bottom w:val="single" w:sz="4" w:space="0" w:color="auto"/>
              <w:right w:val="single" w:sz="4" w:space="0" w:color="auto"/>
            </w:tcBorders>
            <w:shd w:val="clear" w:color="auto" w:fill="auto"/>
            <w:noWrap/>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8</w:t>
            </w:r>
          </w:p>
        </w:tc>
        <w:tc>
          <w:tcPr>
            <w:tcW w:w="5299" w:type="dxa"/>
            <w:tcBorders>
              <w:top w:val="nil"/>
              <w:left w:val="nil"/>
              <w:bottom w:val="single" w:sz="4" w:space="0" w:color="auto"/>
              <w:right w:val="single" w:sz="4" w:space="0" w:color="auto"/>
            </w:tcBorders>
            <w:shd w:val="clear" w:color="auto" w:fill="auto"/>
            <w:vAlign w:val="bottom"/>
            <w:hideMark/>
          </w:tcPr>
          <w:p w:rsidR="00A53721" w:rsidRPr="00A53721" w:rsidRDefault="00A53721" w:rsidP="00A53721">
            <w:pPr>
              <w:spacing w:after="0" w:line="240" w:lineRule="auto"/>
              <w:jc w:val="both"/>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 xml:space="preserve">Разкъртване на трошенокаменна настилка, транспортиране на определено </w:t>
            </w:r>
            <w:proofErr w:type="spellStart"/>
            <w:r w:rsidRPr="00A53721">
              <w:rPr>
                <w:rFonts w:ascii="Times New Roman" w:eastAsia="Times New Roman" w:hAnsi="Times New Roman" w:cs="Times New Roman"/>
                <w:noProof w:val="0"/>
                <w:sz w:val="16"/>
                <w:szCs w:val="16"/>
                <w:lang w:eastAsia="bg-BG"/>
              </w:rPr>
              <w:t>растояние</w:t>
            </w:r>
            <w:proofErr w:type="spellEnd"/>
            <w:r w:rsidRPr="00A53721">
              <w:rPr>
                <w:rFonts w:ascii="Times New Roman" w:eastAsia="Times New Roman" w:hAnsi="Times New Roman" w:cs="Times New Roman"/>
                <w:noProof w:val="0"/>
                <w:sz w:val="16"/>
                <w:szCs w:val="16"/>
                <w:lang w:eastAsia="bg-BG"/>
              </w:rPr>
              <w:t xml:space="preserve">, разтоварване на депо и оформянето му съгласно изискванията на </w:t>
            </w:r>
            <w:proofErr w:type="spellStart"/>
            <w:r w:rsidRPr="00A53721">
              <w:rPr>
                <w:rFonts w:ascii="Times New Roman" w:eastAsia="Times New Roman" w:hAnsi="Times New Roman" w:cs="Times New Roman"/>
                <w:noProof w:val="0"/>
                <w:sz w:val="16"/>
                <w:szCs w:val="16"/>
                <w:lang w:eastAsia="bg-BG"/>
              </w:rPr>
              <w:t>ТС.и</w:t>
            </w:r>
            <w:proofErr w:type="spellEnd"/>
            <w:r w:rsidRPr="00A53721">
              <w:rPr>
                <w:rFonts w:ascii="Times New Roman" w:eastAsia="Times New Roman" w:hAnsi="Times New Roman" w:cs="Times New Roman"/>
                <w:noProof w:val="0"/>
                <w:sz w:val="16"/>
                <w:szCs w:val="16"/>
                <w:lang w:eastAsia="bg-BG"/>
              </w:rPr>
              <w:t xml:space="preserve"> всички свързани с това разходи </w:t>
            </w:r>
          </w:p>
        </w:tc>
        <w:tc>
          <w:tcPr>
            <w:tcW w:w="1275" w:type="dxa"/>
            <w:tcBorders>
              <w:top w:val="nil"/>
              <w:left w:val="nil"/>
              <w:bottom w:val="single" w:sz="4" w:space="0" w:color="auto"/>
              <w:right w:val="single" w:sz="4" w:space="0" w:color="auto"/>
            </w:tcBorders>
            <w:shd w:val="clear" w:color="auto" w:fill="auto"/>
            <w:noWrap/>
            <w:vAlign w:val="bottom"/>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м</w:t>
            </w:r>
            <w:r w:rsidRPr="00A53721">
              <w:rPr>
                <w:rFonts w:ascii="Times New Roman" w:eastAsia="Times New Roman" w:hAnsi="Times New Roman" w:cs="Times New Roman"/>
                <w:noProof w:val="0"/>
                <w:sz w:val="16"/>
                <w:szCs w:val="16"/>
                <w:vertAlign w:val="superscript"/>
                <w:lang w:eastAsia="bg-BG"/>
              </w:rPr>
              <w:t>3</w:t>
            </w:r>
          </w:p>
        </w:tc>
        <w:tc>
          <w:tcPr>
            <w:tcW w:w="2666" w:type="dxa"/>
            <w:tcBorders>
              <w:top w:val="nil"/>
              <w:left w:val="nil"/>
              <w:bottom w:val="single" w:sz="4" w:space="0" w:color="auto"/>
              <w:right w:val="single" w:sz="4" w:space="0" w:color="auto"/>
            </w:tcBorders>
            <w:shd w:val="clear" w:color="auto" w:fill="auto"/>
            <w:noWrap/>
            <w:vAlign w:val="bottom"/>
            <w:hideMark/>
          </w:tcPr>
          <w:p w:rsidR="00A53721" w:rsidRPr="00A53721" w:rsidRDefault="00A53721" w:rsidP="00A53721">
            <w:pPr>
              <w:spacing w:after="0" w:line="240" w:lineRule="auto"/>
              <w:jc w:val="center"/>
              <w:rPr>
                <w:rFonts w:ascii="Times New Roman" w:eastAsia="Times New Roman" w:hAnsi="Times New Roman" w:cs="Times New Roman"/>
                <w:noProof w:val="0"/>
                <w:sz w:val="16"/>
                <w:szCs w:val="16"/>
                <w:lang w:eastAsia="bg-BG"/>
              </w:rPr>
            </w:pPr>
            <w:r w:rsidRPr="00A53721">
              <w:rPr>
                <w:rFonts w:ascii="Times New Roman" w:eastAsia="Times New Roman" w:hAnsi="Times New Roman" w:cs="Times New Roman"/>
                <w:noProof w:val="0"/>
                <w:sz w:val="16"/>
                <w:szCs w:val="16"/>
                <w:lang w:eastAsia="bg-BG"/>
              </w:rPr>
              <w:t>1 367,89</w:t>
            </w:r>
          </w:p>
        </w:tc>
      </w:tr>
    </w:tbl>
    <w:p w:rsidR="001369E2" w:rsidRPr="00BD21AD" w:rsidRDefault="001369E2" w:rsidP="00BD21AD">
      <w:pPr>
        <w:pStyle w:val="BodyText"/>
        <w:tabs>
          <w:tab w:val="center" w:pos="993"/>
        </w:tabs>
        <w:spacing w:line="276" w:lineRule="auto"/>
        <w:rPr>
          <w:rFonts w:cs="Times New Roman"/>
          <w:b/>
          <w:szCs w:val="24"/>
          <w:lang w:val="bg-BG"/>
        </w:rPr>
      </w:pPr>
    </w:p>
    <w:p w:rsidR="00A53721" w:rsidRDefault="00A53721" w:rsidP="00BD21AD">
      <w:pPr>
        <w:pStyle w:val="BodyText"/>
        <w:tabs>
          <w:tab w:val="center" w:pos="993"/>
        </w:tabs>
        <w:spacing w:line="276" w:lineRule="auto"/>
        <w:rPr>
          <w:rFonts w:cs="Times New Roman"/>
          <w:szCs w:val="24"/>
          <w:lang w:val="bg-BG"/>
        </w:rPr>
      </w:pPr>
    </w:p>
    <w:p w:rsidR="00A53721" w:rsidRDefault="008B1B8C" w:rsidP="00BD21AD">
      <w:pPr>
        <w:pStyle w:val="BodyText"/>
        <w:tabs>
          <w:tab w:val="center" w:pos="993"/>
        </w:tabs>
        <w:spacing w:line="276" w:lineRule="auto"/>
        <w:rPr>
          <w:rFonts w:cs="Times New Roman"/>
          <w:szCs w:val="24"/>
          <w:lang w:val="bg-BG"/>
        </w:rPr>
      </w:pPr>
      <w:r>
        <w:rPr>
          <w:rFonts w:cs="Times New Roman"/>
          <w:szCs w:val="24"/>
          <w:lang w:val="bg-BG"/>
        </w:rPr>
        <w:t>3. Приложение № 5 и Приложение № 7 не се изготвя, когато кандидатът е различен от възложител по реда на ПМС 160 или ЗОП. За тези кандидати се счита, че одобрената субсидия е под 50% и за заявените разходи кандидатът има сключени предварителни или окончателни договори за доставка/услуга/СМР.</w:t>
      </w:r>
    </w:p>
    <w:p w:rsidR="00D9544A" w:rsidRDefault="008B1B8C" w:rsidP="00BD21AD">
      <w:pPr>
        <w:pStyle w:val="BodyText"/>
        <w:tabs>
          <w:tab w:val="center" w:pos="993"/>
        </w:tabs>
        <w:spacing w:line="276" w:lineRule="auto"/>
        <w:rPr>
          <w:rFonts w:cs="Times New Roman"/>
          <w:szCs w:val="24"/>
          <w:lang w:val="bg-BG"/>
        </w:rPr>
      </w:pPr>
      <w:r>
        <w:rPr>
          <w:rFonts w:cs="Times New Roman"/>
          <w:szCs w:val="24"/>
          <w:lang w:val="bg-BG"/>
        </w:rPr>
        <w:t xml:space="preserve">5. Приложение № 7 </w:t>
      </w:r>
      <w:r w:rsidRPr="00BD21AD">
        <w:rPr>
          <w:szCs w:val="24"/>
          <w:lang w:val="bg-BG"/>
        </w:rPr>
        <w:t>„Технически спецификации</w:t>
      </w:r>
      <w:r>
        <w:rPr>
          <w:szCs w:val="24"/>
          <w:lang w:val="bg-BG"/>
        </w:rPr>
        <w:t xml:space="preserve">“ също следва да бъде представено на кандидати, възложители по реда на ПМС 160 или ЗОП, когато в проектното предложение са включени – доставка, машина, съоръжение, оборудване и т.н. </w:t>
      </w:r>
    </w:p>
    <w:p w:rsidR="00D9544A" w:rsidRDefault="00D9544A" w:rsidP="00BD21AD">
      <w:pPr>
        <w:pStyle w:val="BodyText"/>
        <w:tabs>
          <w:tab w:val="center" w:pos="993"/>
        </w:tabs>
        <w:spacing w:line="276" w:lineRule="auto"/>
        <w:rPr>
          <w:rFonts w:cs="Times New Roman"/>
          <w:szCs w:val="24"/>
          <w:lang w:val="bg-BG"/>
        </w:rPr>
      </w:pPr>
    </w:p>
    <w:p w:rsidR="00AC1487" w:rsidRDefault="00AC1487" w:rsidP="00BD21AD">
      <w:pPr>
        <w:pStyle w:val="BodyText"/>
        <w:tabs>
          <w:tab w:val="center" w:pos="993"/>
        </w:tabs>
        <w:spacing w:line="276" w:lineRule="auto"/>
        <w:rPr>
          <w:rFonts w:cs="Times New Roman"/>
          <w:szCs w:val="24"/>
          <w:lang w:val="bg-BG"/>
        </w:rPr>
      </w:pPr>
    </w:p>
    <w:p w:rsidR="005815F6" w:rsidRDefault="008B1B8C" w:rsidP="00BD21AD">
      <w:pPr>
        <w:pStyle w:val="BodyText"/>
        <w:tabs>
          <w:tab w:val="center" w:pos="993"/>
        </w:tabs>
        <w:spacing w:line="276" w:lineRule="auto"/>
        <w:rPr>
          <w:rFonts w:cs="Times New Roman"/>
          <w:szCs w:val="24"/>
          <w:lang w:val="bg-BG"/>
        </w:rPr>
      </w:pPr>
      <w:r w:rsidRPr="00AC1487">
        <w:rPr>
          <w:rFonts w:cs="Times New Roman"/>
          <w:b/>
          <w:szCs w:val="24"/>
          <w:lang w:val="bg-BG"/>
        </w:rPr>
        <w:t>ВАЖНО:</w:t>
      </w:r>
      <w:r>
        <w:rPr>
          <w:rFonts w:cs="Times New Roman"/>
          <w:szCs w:val="24"/>
          <w:lang w:val="bg-BG"/>
        </w:rPr>
        <w:t xml:space="preserve"> </w:t>
      </w:r>
      <w:r w:rsidR="005815F6">
        <w:rPr>
          <w:rFonts w:cs="Times New Roman"/>
          <w:szCs w:val="24"/>
          <w:lang w:val="bg-BG"/>
        </w:rPr>
        <w:t>След извършване на оценка на проектното предложение -</w:t>
      </w:r>
      <w:r w:rsidR="005815F6" w:rsidRPr="00BD21AD">
        <w:rPr>
          <w:rFonts w:cs="Times New Roman"/>
          <w:b/>
          <w:szCs w:val="24"/>
          <w:lang w:val="bg-BG"/>
        </w:rPr>
        <w:t xml:space="preserve"> </w:t>
      </w:r>
      <w:r w:rsidR="00BA0EDD" w:rsidRPr="00BD21AD">
        <w:rPr>
          <w:rFonts w:cs="Times New Roman"/>
          <w:b/>
          <w:szCs w:val="24"/>
          <w:lang w:val="bg-BG"/>
        </w:rPr>
        <w:t>Приложение № 5</w:t>
      </w:r>
      <w:r w:rsidR="00AC1487">
        <w:rPr>
          <w:rFonts w:cs="Times New Roman"/>
          <w:szCs w:val="24"/>
          <w:lang w:val="bg-BG"/>
        </w:rPr>
        <w:t xml:space="preserve"> </w:t>
      </w:r>
      <w:r w:rsidR="00BA0EDD" w:rsidRPr="00BD21AD">
        <w:rPr>
          <w:rFonts w:cs="Times New Roman"/>
          <w:szCs w:val="24"/>
          <w:lang w:val="bg-BG"/>
        </w:rPr>
        <w:t xml:space="preserve">и </w:t>
      </w:r>
      <w:r w:rsidR="00BA0EDD" w:rsidRPr="00BD21AD">
        <w:rPr>
          <w:rFonts w:cs="Times New Roman"/>
          <w:b/>
          <w:szCs w:val="24"/>
          <w:lang w:val="bg-BG"/>
        </w:rPr>
        <w:t xml:space="preserve">Приложение </w:t>
      </w:r>
      <w:r w:rsidR="00BA0EDD" w:rsidRPr="00BD21AD">
        <w:rPr>
          <w:b/>
          <w:szCs w:val="24"/>
          <w:lang w:val="bg-BG"/>
        </w:rPr>
        <w:t>№ 7</w:t>
      </w:r>
      <w:r w:rsidR="00AC1487">
        <w:rPr>
          <w:rFonts w:cs="Times New Roman"/>
          <w:szCs w:val="24"/>
          <w:lang w:val="bg-BG"/>
        </w:rPr>
        <w:t xml:space="preserve"> към админис</w:t>
      </w:r>
      <w:r w:rsidR="00A81481">
        <w:rPr>
          <w:rFonts w:cs="Times New Roman"/>
          <w:szCs w:val="24"/>
          <w:lang w:val="bg-BG"/>
        </w:rPr>
        <w:t>тративния договор следва да бъдат изготвени</w:t>
      </w:r>
      <w:r w:rsidR="00AC1487">
        <w:rPr>
          <w:rFonts w:cs="Times New Roman"/>
          <w:szCs w:val="24"/>
          <w:lang w:val="bg-BG"/>
        </w:rPr>
        <w:t xml:space="preserve"> </w:t>
      </w:r>
      <w:r w:rsidR="00A81481">
        <w:rPr>
          <w:rFonts w:cs="Times New Roman"/>
          <w:szCs w:val="24"/>
          <w:lang w:val="bg-BG"/>
        </w:rPr>
        <w:t xml:space="preserve">точно и </w:t>
      </w:r>
      <w:r w:rsidR="005815F6">
        <w:rPr>
          <w:rFonts w:cs="Times New Roman"/>
          <w:szCs w:val="24"/>
          <w:lang w:val="bg-BG"/>
        </w:rPr>
        <w:t xml:space="preserve">коректно и </w:t>
      </w:r>
      <w:r w:rsidR="00AC1487">
        <w:rPr>
          <w:rFonts w:cs="Times New Roman"/>
          <w:szCs w:val="24"/>
          <w:lang w:val="bg-BG"/>
        </w:rPr>
        <w:t>да отговаря</w:t>
      </w:r>
      <w:r w:rsidR="00A81481">
        <w:rPr>
          <w:rFonts w:cs="Times New Roman"/>
          <w:szCs w:val="24"/>
          <w:lang w:val="bg-BG"/>
        </w:rPr>
        <w:t>т</w:t>
      </w:r>
      <w:r w:rsidR="00AC1487">
        <w:rPr>
          <w:rFonts w:cs="Times New Roman"/>
          <w:szCs w:val="24"/>
          <w:lang w:val="bg-BG"/>
        </w:rPr>
        <w:t xml:space="preserve"> </w:t>
      </w:r>
      <w:r w:rsidR="00A81481">
        <w:rPr>
          <w:rFonts w:cs="Times New Roman"/>
          <w:szCs w:val="24"/>
          <w:lang w:val="bg-BG"/>
        </w:rPr>
        <w:t>изцяло на одобрените разходи</w:t>
      </w:r>
      <w:r w:rsidR="005815F6">
        <w:rPr>
          <w:rFonts w:cs="Times New Roman"/>
          <w:szCs w:val="24"/>
          <w:lang w:val="bg-BG"/>
        </w:rPr>
        <w:t>.</w:t>
      </w:r>
      <w:r w:rsidR="00A81481">
        <w:rPr>
          <w:rFonts w:cs="Times New Roman"/>
          <w:szCs w:val="24"/>
          <w:lang w:val="bg-BG"/>
        </w:rPr>
        <w:t xml:space="preserve"> Следва да имате предвид,</w:t>
      </w:r>
      <w:r w:rsidR="00AC1487">
        <w:rPr>
          <w:rFonts w:cs="Times New Roman"/>
          <w:szCs w:val="24"/>
          <w:lang w:val="bg-BG"/>
        </w:rPr>
        <w:t xml:space="preserve"> </w:t>
      </w:r>
      <w:r w:rsidR="00A81481">
        <w:rPr>
          <w:rFonts w:cs="Times New Roman"/>
          <w:szCs w:val="24"/>
          <w:lang w:val="bg-BG"/>
        </w:rPr>
        <w:t>че</w:t>
      </w:r>
      <w:r w:rsidR="00BA0EDD" w:rsidRPr="00BD21AD">
        <w:rPr>
          <w:rFonts w:cs="Times New Roman"/>
          <w:szCs w:val="24"/>
          <w:lang w:val="bg-BG"/>
        </w:rPr>
        <w:t xml:space="preserve"> кандидатът </w:t>
      </w:r>
      <w:r w:rsidR="00A81481">
        <w:rPr>
          <w:rFonts w:cs="Times New Roman"/>
          <w:szCs w:val="24"/>
          <w:lang w:val="bg-BG"/>
        </w:rPr>
        <w:t>се задължава да</w:t>
      </w:r>
      <w:r w:rsidR="00BA0EDD" w:rsidRPr="00BD21AD">
        <w:rPr>
          <w:rFonts w:cs="Times New Roman"/>
          <w:szCs w:val="24"/>
          <w:lang w:val="bg-BG"/>
        </w:rPr>
        <w:t xml:space="preserve"> проведе процедура за избор на изпълн</w:t>
      </w:r>
      <w:r w:rsidR="00A81481">
        <w:rPr>
          <w:rFonts w:cs="Times New Roman"/>
          <w:szCs w:val="24"/>
          <w:lang w:val="bg-BG"/>
        </w:rPr>
        <w:t>ител по реда на ПМС 160 или ЗОП на база на допустимите разходи/спецификации, заложени в съответните приложения и няма право да се отклонява от одобрените такива.</w:t>
      </w:r>
      <w:r w:rsidR="00D66BCB">
        <w:rPr>
          <w:rFonts w:cs="Times New Roman"/>
          <w:szCs w:val="24"/>
          <w:lang w:val="bg-BG"/>
        </w:rPr>
        <w:t xml:space="preserve"> </w:t>
      </w:r>
    </w:p>
    <w:p w:rsidR="00DB689B" w:rsidRDefault="00AC1487" w:rsidP="00BD21AD">
      <w:pPr>
        <w:pStyle w:val="BodyText"/>
        <w:tabs>
          <w:tab w:val="center" w:pos="993"/>
        </w:tabs>
        <w:spacing w:line="276" w:lineRule="auto"/>
        <w:rPr>
          <w:rFonts w:cs="Times New Roman"/>
          <w:szCs w:val="24"/>
          <w:lang w:val="bg-BG"/>
        </w:rPr>
      </w:pPr>
      <w:r>
        <w:rPr>
          <w:rFonts w:cs="Times New Roman"/>
          <w:szCs w:val="24"/>
          <w:lang w:val="bg-BG"/>
        </w:rPr>
        <w:lastRenderedPageBreak/>
        <w:t>Обръщаме внимание, че Техническите спецификации следва да бъдат предоставени</w:t>
      </w:r>
      <w:r w:rsidR="00744547">
        <w:rPr>
          <w:rFonts w:cs="Times New Roman"/>
          <w:szCs w:val="24"/>
          <w:lang w:val="bg-BG"/>
        </w:rPr>
        <w:t xml:space="preserve"> от кандидата</w:t>
      </w:r>
      <w:r>
        <w:rPr>
          <w:rFonts w:cs="Times New Roman"/>
          <w:szCs w:val="24"/>
          <w:lang w:val="bg-BG"/>
        </w:rPr>
        <w:t xml:space="preserve"> </w:t>
      </w:r>
      <w:r w:rsidR="005815F6">
        <w:rPr>
          <w:rFonts w:cs="Times New Roman"/>
          <w:szCs w:val="24"/>
          <w:lang w:val="bg-BG"/>
        </w:rPr>
        <w:t xml:space="preserve">и </w:t>
      </w:r>
      <w:r>
        <w:rPr>
          <w:rFonts w:cs="Times New Roman"/>
          <w:szCs w:val="24"/>
          <w:lang w:val="bg-BG"/>
        </w:rPr>
        <w:t xml:space="preserve">във формат </w:t>
      </w:r>
      <w:r>
        <w:rPr>
          <w:rFonts w:cs="Times New Roman"/>
          <w:szCs w:val="24"/>
        </w:rPr>
        <w:t>(</w:t>
      </w:r>
      <w:r>
        <w:rPr>
          <w:rFonts w:cs="Times New Roman"/>
          <w:szCs w:val="24"/>
          <w:lang w:val="bg-BG"/>
        </w:rPr>
        <w:t>„</w:t>
      </w:r>
      <w:r>
        <w:rPr>
          <w:rFonts w:cs="Times New Roman"/>
          <w:szCs w:val="24"/>
        </w:rPr>
        <w:t>word</w:t>
      </w:r>
      <w:r>
        <w:rPr>
          <w:rFonts w:cs="Times New Roman"/>
          <w:szCs w:val="24"/>
          <w:lang w:val="bg-BG"/>
        </w:rPr>
        <w:t>“</w:t>
      </w:r>
      <w:r w:rsidR="00744547">
        <w:rPr>
          <w:rFonts w:cs="Times New Roman"/>
          <w:szCs w:val="24"/>
          <w:lang w:val="bg-BG"/>
        </w:rPr>
        <w:t xml:space="preserve"> или </w:t>
      </w:r>
      <w:r>
        <w:rPr>
          <w:rFonts w:cs="Times New Roman"/>
          <w:szCs w:val="24"/>
          <w:lang w:val="bg-BG"/>
        </w:rPr>
        <w:t>„</w:t>
      </w:r>
      <w:r w:rsidR="00F12045">
        <w:rPr>
          <w:rFonts w:cs="Times New Roman"/>
          <w:szCs w:val="24"/>
        </w:rPr>
        <w:t>excel</w:t>
      </w:r>
      <w:r>
        <w:rPr>
          <w:rFonts w:cs="Times New Roman"/>
          <w:szCs w:val="24"/>
          <w:lang w:val="bg-BG"/>
        </w:rPr>
        <w:t>“</w:t>
      </w:r>
      <w:r w:rsidR="00F06D31">
        <w:rPr>
          <w:rFonts w:cs="Times New Roman"/>
          <w:szCs w:val="24"/>
        </w:rPr>
        <w:t>)</w:t>
      </w:r>
      <w:r>
        <w:rPr>
          <w:rFonts w:cs="Times New Roman"/>
          <w:szCs w:val="24"/>
          <w:lang w:val="bg-BG"/>
        </w:rPr>
        <w:t xml:space="preserve">, </w:t>
      </w:r>
      <w:r w:rsidR="00F06D31">
        <w:rPr>
          <w:rFonts w:cs="Times New Roman"/>
          <w:szCs w:val="24"/>
          <w:lang w:val="bg-BG"/>
        </w:rPr>
        <w:t xml:space="preserve">който позволява коректно нанасяне на данните в Приложение № 7. Много често се слагат </w:t>
      </w:r>
      <w:r w:rsidR="00744547">
        <w:rPr>
          <w:rFonts w:cs="Times New Roman"/>
          <w:szCs w:val="24"/>
          <w:lang w:val="bg-BG"/>
        </w:rPr>
        <w:t>формати, различни от оказаните,</w:t>
      </w:r>
      <w:r w:rsidR="00ED6A9D">
        <w:rPr>
          <w:rFonts w:cs="Times New Roman"/>
          <w:szCs w:val="24"/>
          <w:lang w:val="bg-BG"/>
        </w:rPr>
        <w:t xml:space="preserve"> което затруднява и води до грешки при изготвяне на приложението.</w:t>
      </w:r>
      <w:r w:rsidR="00206A3B">
        <w:rPr>
          <w:rFonts w:cs="Times New Roman"/>
          <w:szCs w:val="24"/>
          <w:lang w:val="bg-BG"/>
        </w:rPr>
        <w:t xml:space="preserve"> </w:t>
      </w:r>
    </w:p>
    <w:p w:rsidR="00ED6A9D" w:rsidRDefault="00ED6A9D" w:rsidP="00BD21AD">
      <w:pPr>
        <w:pStyle w:val="BodyText"/>
        <w:tabs>
          <w:tab w:val="center" w:pos="993"/>
        </w:tabs>
        <w:spacing w:line="276" w:lineRule="auto"/>
        <w:rPr>
          <w:rFonts w:cs="Times New Roman"/>
          <w:szCs w:val="24"/>
          <w:lang w:val="bg-BG"/>
        </w:rPr>
      </w:pPr>
    </w:p>
    <w:p w:rsidR="00ED6A9D" w:rsidRPr="00A81481" w:rsidRDefault="00ED6A9D" w:rsidP="00BD21AD">
      <w:pPr>
        <w:pStyle w:val="BodyText"/>
        <w:tabs>
          <w:tab w:val="center" w:pos="993"/>
        </w:tabs>
        <w:spacing w:line="276" w:lineRule="auto"/>
        <w:rPr>
          <w:rFonts w:cs="Times New Roman"/>
          <w:szCs w:val="24"/>
          <w:lang w:val="bg-BG"/>
        </w:rPr>
      </w:pPr>
      <w:r w:rsidRPr="00744547">
        <w:rPr>
          <w:rFonts w:cs="Times New Roman"/>
          <w:b/>
          <w:szCs w:val="24"/>
          <w:lang w:val="bg-BG"/>
        </w:rPr>
        <w:t>ВАЖНО:</w:t>
      </w:r>
      <w:r w:rsidR="00744547">
        <w:rPr>
          <w:rFonts w:cs="Times New Roman"/>
          <w:b/>
          <w:szCs w:val="24"/>
          <w:lang w:val="bg-BG"/>
        </w:rPr>
        <w:t xml:space="preserve"> </w:t>
      </w:r>
      <w:r w:rsidR="00744547" w:rsidRPr="00A81481">
        <w:rPr>
          <w:rFonts w:cs="Times New Roman"/>
          <w:szCs w:val="24"/>
          <w:lang w:val="bg-BG"/>
        </w:rPr>
        <w:t>Когато кандидатите са възложит</w:t>
      </w:r>
      <w:r w:rsidR="00206A3B" w:rsidRPr="00A81481">
        <w:rPr>
          <w:rFonts w:cs="Times New Roman"/>
          <w:szCs w:val="24"/>
          <w:lang w:val="bg-BG"/>
        </w:rPr>
        <w:t>ели по реда на ПМС 160 или ЗОП</w:t>
      </w:r>
      <w:r w:rsidR="005815F6">
        <w:rPr>
          <w:rFonts w:cs="Times New Roman"/>
          <w:szCs w:val="24"/>
          <w:lang w:val="bg-BG"/>
        </w:rPr>
        <w:t xml:space="preserve"> при изготвяне на административния договор</w:t>
      </w:r>
      <w:r w:rsidR="00206A3B" w:rsidRPr="00A81481">
        <w:rPr>
          <w:rFonts w:cs="Times New Roman"/>
          <w:szCs w:val="24"/>
          <w:lang w:val="bg-BG"/>
        </w:rPr>
        <w:t xml:space="preserve"> </w:t>
      </w:r>
      <w:r w:rsidR="00A81481">
        <w:rPr>
          <w:rFonts w:cs="Times New Roman"/>
          <w:szCs w:val="24"/>
          <w:lang w:val="bg-BG"/>
        </w:rPr>
        <w:t xml:space="preserve">в </w:t>
      </w:r>
      <w:r w:rsidR="005815F6">
        <w:rPr>
          <w:rFonts w:cs="Times New Roman"/>
          <w:szCs w:val="24"/>
          <w:lang w:val="bg-BG"/>
        </w:rPr>
        <w:t xml:space="preserve">Приложение № 1, Приложение № 5 и/или 7 </w:t>
      </w:r>
      <w:r w:rsidR="00A81481">
        <w:rPr>
          <w:rFonts w:cs="Times New Roman"/>
          <w:szCs w:val="24"/>
          <w:lang w:val="bg-BG"/>
        </w:rPr>
        <w:t xml:space="preserve">не следва да бъдат вписани </w:t>
      </w:r>
      <w:r w:rsidR="005815F6">
        <w:rPr>
          <w:rFonts w:cs="Times New Roman"/>
          <w:szCs w:val="24"/>
          <w:lang w:val="bg-BG"/>
        </w:rPr>
        <w:t>марка и модел или може да бъде добавена думата „еквивалент“.</w:t>
      </w:r>
    </w:p>
    <w:p w:rsidR="00DB689B" w:rsidRPr="00BD21AD" w:rsidRDefault="00DB689B" w:rsidP="00BD21AD">
      <w:pPr>
        <w:pStyle w:val="BodyText"/>
        <w:tabs>
          <w:tab w:val="center" w:pos="993"/>
        </w:tabs>
        <w:spacing w:line="276" w:lineRule="auto"/>
        <w:rPr>
          <w:rFonts w:cs="Times New Roman"/>
          <w:szCs w:val="24"/>
          <w:lang w:val="bg-BG"/>
        </w:rPr>
      </w:pPr>
    </w:p>
    <w:p w:rsidR="001E7933" w:rsidRPr="00BD21AD" w:rsidRDefault="00DB689B" w:rsidP="00BD21AD">
      <w:pPr>
        <w:pStyle w:val="BodyText"/>
        <w:tabs>
          <w:tab w:val="center" w:pos="993"/>
        </w:tabs>
        <w:spacing w:line="276" w:lineRule="auto"/>
        <w:rPr>
          <w:rFonts w:cs="Times New Roman"/>
          <w:b/>
          <w:szCs w:val="24"/>
          <w:lang w:val="bg-BG"/>
        </w:rPr>
      </w:pPr>
      <w:r w:rsidRPr="008E5680">
        <w:rPr>
          <w:rFonts w:cs="Times New Roman"/>
          <w:b/>
          <w:szCs w:val="24"/>
          <w:lang w:val="bg-BG"/>
        </w:rPr>
        <w:t xml:space="preserve">7. Въпроси, зададени от страна на МИГ </w:t>
      </w:r>
      <w:r w:rsidR="007A2ADD" w:rsidRPr="008E5680">
        <w:rPr>
          <w:rFonts w:cs="Times New Roman"/>
          <w:b/>
          <w:szCs w:val="24"/>
          <w:lang w:val="bg-BG"/>
        </w:rPr>
        <w:t>Костенец</w:t>
      </w:r>
      <w:r w:rsidR="001E7933" w:rsidRPr="008E5680">
        <w:rPr>
          <w:rFonts w:cs="Times New Roman"/>
          <w:b/>
          <w:szCs w:val="24"/>
          <w:lang w:val="bg-BG"/>
        </w:rPr>
        <w:t>, относно прилагане на ПМС 160.</w:t>
      </w:r>
    </w:p>
    <w:p w:rsidR="001E7933" w:rsidRPr="00BD21AD" w:rsidRDefault="001E7933" w:rsidP="00BD21AD">
      <w:pPr>
        <w:pStyle w:val="BodyText"/>
        <w:tabs>
          <w:tab w:val="center" w:pos="993"/>
        </w:tabs>
        <w:spacing w:line="276" w:lineRule="auto"/>
        <w:rPr>
          <w:rFonts w:cs="Times New Roman"/>
          <w:b/>
          <w:szCs w:val="24"/>
          <w:lang w:val="bg-BG"/>
        </w:rPr>
      </w:pPr>
    </w:p>
    <w:p w:rsidR="001E7933" w:rsidRPr="00BD21AD" w:rsidRDefault="001E7933" w:rsidP="00BD21AD">
      <w:pPr>
        <w:pStyle w:val="BodyText"/>
        <w:tabs>
          <w:tab w:val="center" w:pos="993"/>
        </w:tabs>
        <w:spacing w:line="276" w:lineRule="auto"/>
        <w:rPr>
          <w:rFonts w:cs="Times New Roman"/>
          <w:szCs w:val="24"/>
          <w:lang w:val="bg-BG"/>
        </w:rPr>
      </w:pPr>
    </w:p>
    <w:p w:rsidR="001E7933" w:rsidRPr="00BD21AD" w:rsidRDefault="001E7933" w:rsidP="00BD21AD">
      <w:pPr>
        <w:pStyle w:val="BodyText"/>
        <w:tabs>
          <w:tab w:val="center" w:pos="993"/>
        </w:tabs>
        <w:spacing w:line="276" w:lineRule="auto"/>
        <w:rPr>
          <w:rFonts w:cs="Times New Roman"/>
          <w:b/>
          <w:szCs w:val="24"/>
          <w:u w:val="single"/>
          <w:lang w:val="bg-BG"/>
        </w:rPr>
      </w:pPr>
      <w:r w:rsidRPr="00BD21AD">
        <w:rPr>
          <w:rFonts w:cs="Times New Roman"/>
          <w:b/>
          <w:szCs w:val="24"/>
          <w:u w:val="single"/>
          <w:lang w:val="bg-BG"/>
        </w:rPr>
        <w:t xml:space="preserve">1. Относно Техническа спецификация/техническо задание; </w:t>
      </w:r>
    </w:p>
    <w:p w:rsidR="001E7933" w:rsidRPr="00BD21AD" w:rsidRDefault="001E7933" w:rsidP="00BD21AD">
      <w:pPr>
        <w:pStyle w:val="BodyText"/>
        <w:tabs>
          <w:tab w:val="center" w:pos="993"/>
        </w:tabs>
        <w:spacing w:line="276" w:lineRule="auto"/>
        <w:rPr>
          <w:rFonts w:cs="Times New Roman"/>
          <w:szCs w:val="24"/>
          <w:lang w:val="bg-BG"/>
        </w:rPr>
      </w:pPr>
      <w:r w:rsidRPr="00BD21AD">
        <w:rPr>
          <w:rFonts w:cs="Times New Roman"/>
          <w:szCs w:val="24"/>
          <w:lang w:val="bg-BG"/>
        </w:rPr>
        <w:t xml:space="preserve">При изготвянето на техническата спецификация за публичната покана бенефициентите обвързани ли са и ако да, доколко са обвързани с техническите спецификации на активите описани в Таблицата за допустимите инвестиции и дейности /ТДИД/ и бизнес плана към проектното предложение? Последващият контрол включва ли контрол и върху това съответствие? Могат ли бенефициентите да залагат в публичната покана по-високи или по-ниски изисквания от тези в ТДИД или ако характеристиките са определени в конкретни стойности /примерно </w:t>
      </w:r>
      <w:proofErr w:type="spellStart"/>
      <w:r w:rsidRPr="00BD21AD">
        <w:rPr>
          <w:rFonts w:cs="Times New Roman"/>
          <w:szCs w:val="24"/>
          <w:lang w:val="bg-BG"/>
        </w:rPr>
        <w:t>товароносимост</w:t>
      </w:r>
      <w:proofErr w:type="spellEnd"/>
      <w:r w:rsidRPr="00BD21AD">
        <w:rPr>
          <w:rFonts w:cs="Times New Roman"/>
          <w:szCs w:val="24"/>
          <w:lang w:val="bg-BG"/>
        </w:rPr>
        <w:t xml:space="preserve"> 3500 кг., диаметър 100 мм, и т.н./ в техническото задание към публичната покана да залагат диапазон – от-до/минимум или максимум, който обхваща и техническите спецификации от ТДИД и бизнес плана?</w:t>
      </w:r>
    </w:p>
    <w:p w:rsidR="001E7933" w:rsidRPr="00BD21AD" w:rsidRDefault="001E7933" w:rsidP="00BD21AD">
      <w:pPr>
        <w:pStyle w:val="BodyText"/>
        <w:tabs>
          <w:tab w:val="center" w:pos="993"/>
        </w:tabs>
        <w:spacing w:line="276" w:lineRule="auto"/>
        <w:rPr>
          <w:rFonts w:cs="Times New Roman"/>
          <w:szCs w:val="24"/>
          <w:lang w:val="bg-BG"/>
        </w:rPr>
      </w:pPr>
    </w:p>
    <w:p w:rsidR="00420097" w:rsidRPr="00BD21AD" w:rsidRDefault="00D85FD9" w:rsidP="00BD21AD">
      <w:pPr>
        <w:pStyle w:val="BodyText"/>
        <w:tabs>
          <w:tab w:val="center" w:pos="993"/>
        </w:tabs>
        <w:spacing w:line="276" w:lineRule="auto"/>
        <w:rPr>
          <w:rFonts w:cs="Times New Roman"/>
          <w:b/>
          <w:szCs w:val="24"/>
          <w:lang w:val="bg-BG"/>
        </w:rPr>
      </w:pPr>
      <w:r w:rsidRPr="00BD21AD">
        <w:rPr>
          <w:rFonts w:cs="Times New Roman"/>
          <w:b/>
          <w:szCs w:val="24"/>
          <w:lang w:val="bg-BG"/>
        </w:rPr>
        <w:tab/>
        <w:t xml:space="preserve">        - </w:t>
      </w:r>
      <w:r w:rsidR="00420097" w:rsidRPr="00BD21AD">
        <w:rPr>
          <w:rFonts w:cs="Times New Roman"/>
          <w:b/>
          <w:szCs w:val="24"/>
        </w:rPr>
        <w:t>"</w:t>
      </w:r>
      <w:proofErr w:type="spellStart"/>
      <w:r w:rsidR="00420097" w:rsidRPr="00BD21AD">
        <w:rPr>
          <w:rFonts w:cs="Times New Roman"/>
          <w:b/>
          <w:szCs w:val="24"/>
        </w:rPr>
        <w:t>Техническа</w:t>
      </w:r>
      <w:proofErr w:type="spellEnd"/>
      <w:r w:rsidR="00420097" w:rsidRPr="00BD21AD">
        <w:rPr>
          <w:rFonts w:cs="Times New Roman"/>
          <w:b/>
          <w:szCs w:val="24"/>
        </w:rPr>
        <w:t xml:space="preserve"> </w:t>
      </w:r>
      <w:proofErr w:type="spellStart"/>
      <w:r w:rsidR="00420097" w:rsidRPr="00BD21AD">
        <w:rPr>
          <w:rFonts w:cs="Times New Roman"/>
          <w:b/>
          <w:szCs w:val="24"/>
        </w:rPr>
        <w:t>спецификация</w:t>
      </w:r>
      <w:proofErr w:type="spellEnd"/>
      <w:r w:rsidR="00420097" w:rsidRPr="00BD21AD">
        <w:rPr>
          <w:rFonts w:cs="Times New Roman"/>
          <w:b/>
          <w:szCs w:val="24"/>
        </w:rPr>
        <w:t xml:space="preserve"> </w:t>
      </w:r>
      <w:proofErr w:type="spellStart"/>
      <w:r w:rsidR="00420097" w:rsidRPr="00BD21AD">
        <w:rPr>
          <w:rFonts w:cs="Times New Roman"/>
          <w:b/>
          <w:szCs w:val="24"/>
        </w:rPr>
        <w:t>за</w:t>
      </w:r>
      <w:proofErr w:type="spellEnd"/>
      <w:r w:rsidR="00420097" w:rsidRPr="00BD21AD">
        <w:rPr>
          <w:rFonts w:cs="Times New Roman"/>
          <w:b/>
          <w:szCs w:val="24"/>
        </w:rPr>
        <w:t xml:space="preserve"> </w:t>
      </w:r>
      <w:proofErr w:type="spellStart"/>
      <w:r w:rsidR="00420097" w:rsidRPr="00BD21AD">
        <w:rPr>
          <w:rFonts w:cs="Times New Roman"/>
          <w:b/>
          <w:szCs w:val="24"/>
        </w:rPr>
        <w:t>строителство</w:t>
      </w:r>
      <w:proofErr w:type="spellEnd"/>
      <w:r w:rsidR="00420097" w:rsidRPr="00BD21AD">
        <w:rPr>
          <w:rFonts w:cs="Times New Roman"/>
          <w:b/>
          <w:szCs w:val="24"/>
        </w:rPr>
        <w:t xml:space="preserve">" </w:t>
      </w:r>
      <w:r w:rsidR="00420097" w:rsidRPr="00BD21AD">
        <w:rPr>
          <w:rFonts w:cs="Times New Roman"/>
          <w:szCs w:val="24"/>
        </w:rPr>
        <w:t xml:space="preserve">е съвкупността от технически предписания, посочени в поканата за участие, които определят изискванията към характеристики на материалите и стоките по такъв начин, че те да отговарят на предвидената от бенефициента употреба. Тези характеристики трябва да включват ниво на изпълнение съгласно изискванията за опазване на околната среда, проектиране, което да отговаря на всички изисквания, включително достъп за лица с увреждания, и оценка на съответствието, работни характеристики, безопасност или размери, включително процедурите относно осигуряването на качеството, терминология, символи, изпитване и методи на изпитване, опаковане, маркиране и етикетиране. </w:t>
      </w:r>
      <w:proofErr w:type="gramStart"/>
      <w:r w:rsidR="00420097" w:rsidRPr="00BD21AD">
        <w:rPr>
          <w:rFonts w:cs="Times New Roman"/>
          <w:szCs w:val="24"/>
        </w:rPr>
        <w:t>Те трябва да включват и правила за проектиране, изпитване, строителен надзор и условия за приемане на строителни работи и методи или технологии на строителство и всички други технически условия, които бенефициентът или кандидатът за безвъзмездна финансова помощ е в състояние да предпише по силата на закон или на подзаконови нормативни актове по отношение на завършен строеж и материалите или частите, включени в него.</w:t>
      </w:r>
      <w:proofErr w:type="gramEnd"/>
    </w:p>
    <w:p w:rsidR="00420097" w:rsidRPr="00BD21AD" w:rsidRDefault="00420097" w:rsidP="00BD21AD">
      <w:pPr>
        <w:pStyle w:val="ListParagraph"/>
        <w:numPr>
          <w:ilvl w:val="0"/>
          <w:numId w:val="6"/>
        </w:numPr>
        <w:spacing w:after="60" w:line="276" w:lineRule="auto"/>
        <w:ind w:left="0" w:firstLine="360"/>
        <w:jc w:val="both"/>
        <w:rPr>
          <w:rFonts w:ascii="Times New Roman" w:hAnsi="Times New Roman" w:cs="Times New Roman"/>
          <w:sz w:val="24"/>
          <w:szCs w:val="24"/>
        </w:rPr>
      </w:pPr>
      <w:r w:rsidRPr="00BD21AD">
        <w:rPr>
          <w:rFonts w:ascii="Times New Roman" w:hAnsi="Times New Roman" w:cs="Times New Roman"/>
          <w:b/>
          <w:sz w:val="24"/>
          <w:szCs w:val="24"/>
        </w:rPr>
        <w:t>"Техническа спецификация за услуги или стоки"</w:t>
      </w:r>
      <w:r w:rsidRPr="00BD21AD">
        <w:rPr>
          <w:rFonts w:ascii="Times New Roman" w:hAnsi="Times New Roman" w:cs="Times New Roman"/>
          <w:sz w:val="24"/>
          <w:szCs w:val="24"/>
        </w:rPr>
        <w:t xml:space="preserve"> е спецификация в документ, с която се определят изискванията към характеристики на стока или услуга, като ниво на качество, нива на опазване на околната среда, проектиране, което да отговаря на всички изисквания, включително достъп за лица с увреждания, и оценка на съответствието, процес или метод на производство, употреба, безопасност, размери, изисквания по отношение на наименованието, под което стоката се продава, терминология, символи, изпитване и методи на изпитване, опаковане, маркиране, етикетиране, инструкции за експлоатация, процедури за оценяване на съответствието.</w:t>
      </w:r>
    </w:p>
    <w:p w:rsidR="00420097" w:rsidRPr="00BD21AD" w:rsidRDefault="00420097" w:rsidP="00BD21AD">
      <w:pPr>
        <w:spacing w:after="60" w:line="276" w:lineRule="auto"/>
        <w:ind w:firstLine="567"/>
        <w:jc w:val="both"/>
        <w:rPr>
          <w:rFonts w:ascii="Times New Roman" w:hAnsi="Times New Roman" w:cs="Times New Roman"/>
          <w:bCs/>
          <w:sz w:val="24"/>
          <w:szCs w:val="24"/>
        </w:rPr>
      </w:pPr>
      <w:r w:rsidRPr="00BD21AD">
        <w:rPr>
          <w:rFonts w:ascii="Times New Roman" w:hAnsi="Times New Roman" w:cs="Times New Roman"/>
          <w:bCs/>
          <w:sz w:val="24"/>
          <w:szCs w:val="24"/>
        </w:rPr>
        <w:t>Предметът на поръчката и техническите спецификации следва да отговарят на заложеното в заявлението за подпомагане и финално одобреното със сключения Договор за предоставяне на финансова помощ.</w:t>
      </w:r>
    </w:p>
    <w:p w:rsidR="00420097" w:rsidRPr="00BD21AD" w:rsidRDefault="00420097" w:rsidP="00BD21AD">
      <w:pPr>
        <w:spacing w:after="60" w:line="276" w:lineRule="auto"/>
        <w:ind w:firstLine="567"/>
        <w:jc w:val="both"/>
        <w:rPr>
          <w:rFonts w:ascii="Times New Roman" w:hAnsi="Times New Roman" w:cs="Times New Roman"/>
          <w:bCs/>
          <w:sz w:val="24"/>
          <w:szCs w:val="24"/>
        </w:rPr>
      </w:pPr>
      <w:r w:rsidRPr="00BD21AD">
        <w:rPr>
          <w:bCs/>
          <w:sz w:val="24"/>
          <w:szCs w:val="24"/>
        </w:rPr>
        <w:lastRenderedPageBreak/>
        <w:t xml:space="preserve"> </w:t>
      </w:r>
      <w:r w:rsidRPr="00BD21AD">
        <w:rPr>
          <w:rFonts w:ascii="Times New Roman" w:hAnsi="Times New Roman" w:cs="Times New Roman"/>
          <w:bCs/>
          <w:sz w:val="24"/>
          <w:szCs w:val="24"/>
        </w:rPr>
        <w:t>По отношение определянето на техническите спецификации следва да се спазват стриктно правилата на чл. 50 - 54 от ЗУСЕСИФ и ПМС № 160 от 1 юли 2016 г., отчитайки предмета на процедурата за избор с публична покана и възможностите, които законодателството предоставя на бенефициентите да изберат при определянето им.</w:t>
      </w:r>
    </w:p>
    <w:p w:rsidR="00420097" w:rsidRPr="00BD21AD" w:rsidRDefault="00420097" w:rsidP="00BD21AD">
      <w:pPr>
        <w:spacing w:after="60" w:line="276" w:lineRule="auto"/>
        <w:ind w:firstLine="567"/>
        <w:jc w:val="both"/>
        <w:rPr>
          <w:rFonts w:ascii="Times New Roman" w:hAnsi="Times New Roman" w:cs="Times New Roman"/>
          <w:bCs/>
          <w:sz w:val="24"/>
          <w:szCs w:val="24"/>
        </w:rPr>
      </w:pPr>
      <w:r w:rsidRPr="00BD21AD">
        <w:rPr>
          <w:rFonts w:ascii="Times New Roman" w:hAnsi="Times New Roman" w:cs="Times New Roman"/>
          <w:bCs/>
          <w:sz w:val="24"/>
          <w:szCs w:val="24"/>
        </w:rPr>
        <w:t>По-специално, техническите спецификации трябва да осигуряват:</w:t>
      </w:r>
    </w:p>
    <w:p w:rsidR="00420097" w:rsidRPr="00BD21AD" w:rsidRDefault="00420097" w:rsidP="00BD21AD">
      <w:pPr>
        <w:numPr>
          <w:ilvl w:val="0"/>
          <w:numId w:val="5"/>
        </w:numPr>
        <w:spacing w:after="60" w:line="276" w:lineRule="auto"/>
        <w:jc w:val="both"/>
        <w:rPr>
          <w:rFonts w:ascii="Times New Roman" w:hAnsi="Times New Roman" w:cs="Times New Roman"/>
          <w:bCs/>
          <w:sz w:val="24"/>
          <w:szCs w:val="24"/>
        </w:rPr>
      </w:pPr>
      <w:r w:rsidRPr="00BD21AD">
        <w:rPr>
          <w:rFonts w:ascii="Times New Roman" w:hAnsi="Times New Roman" w:cs="Times New Roman"/>
          <w:b/>
          <w:bCs/>
          <w:sz w:val="24"/>
          <w:szCs w:val="24"/>
        </w:rPr>
        <w:t>равен достъп</w:t>
      </w:r>
      <w:r w:rsidRPr="00BD21AD">
        <w:rPr>
          <w:rFonts w:ascii="Times New Roman" w:hAnsi="Times New Roman" w:cs="Times New Roman"/>
          <w:bCs/>
          <w:sz w:val="24"/>
          <w:szCs w:val="24"/>
        </w:rPr>
        <w:t xml:space="preserve"> на кандидатите или участниците до процедурата за избор с публична покана, и </w:t>
      </w:r>
    </w:p>
    <w:p w:rsidR="00420097" w:rsidRPr="00BD21AD" w:rsidRDefault="00420097" w:rsidP="00BD21AD">
      <w:pPr>
        <w:numPr>
          <w:ilvl w:val="0"/>
          <w:numId w:val="5"/>
        </w:numPr>
        <w:spacing w:after="60" w:line="276" w:lineRule="auto"/>
        <w:jc w:val="both"/>
        <w:rPr>
          <w:rFonts w:ascii="Times New Roman" w:hAnsi="Times New Roman" w:cs="Times New Roman"/>
          <w:bCs/>
          <w:sz w:val="24"/>
          <w:szCs w:val="24"/>
        </w:rPr>
      </w:pPr>
      <w:r w:rsidRPr="00BD21AD">
        <w:rPr>
          <w:rFonts w:ascii="Times New Roman" w:hAnsi="Times New Roman" w:cs="Times New Roman"/>
          <w:b/>
          <w:bCs/>
          <w:sz w:val="24"/>
          <w:szCs w:val="24"/>
        </w:rPr>
        <w:t>да не създават необосновани пречки</w:t>
      </w:r>
      <w:r w:rsidRPr="00BD21AD">
        <w:rPr>
          <w:rFonts w:ascii="Times New Roman" w:hAnsi="Times New Roman" w:cs="Times New Roman"/>
          <w:bCs/>
          <w:sz w:val="24"/>
          <w:szCs w:val="24"/>
        </w:rPr>
        <w:t xml:space="preserve"> пред възлагането на процедурата за избор на изпълнител в условията на конкуренция.</w:t>
      </w:r>
    </w:p>
    <w:p w:rsidR="00420097" w:rsidRPr="00BD21AD" w:rsidRDefault="00420097" w:rsidP="00BD21AD">
      <w:pPr>
        <w:spacing w:after="60" w:line="276" w:lineRule="auto"/>
        <w:ind w:firstLine="567"/>
        <w:jc w:val="both"/>
        <w:rPr>
          <w:rFonts w:ascii="Times New Roman" w:hAnsi="Times New Roman" w:cs="Times New Roman"/>
          <w:bCs/>
          <w:sz w:val="24"/>
          <w:szCs w:val="24"/>
        </w:rPr>
      </w:pPr>
      <w:r w:rsidRPr="00BD21AD">
        <w:rPr>
          <w:rFonts w:ascii="Times New Roman" w:hAnsi="Times New Roman" w:cs="Times New Roman"/>
          <w:bCs/>
          <w:sz w:val="24"/>
          <w:szCs w:val="24"/>
        </w:rPr>
        <w:t>Техническите спецификации не могат да съдържат:</w:t>
      </w:r>
    </w:p>
    <w:p w:rsidR="00420097" w:rsidRPr="00BD21AD" w:rsidRDefault="00420097" w:rsidP="00BD21AD">
      <w:pPr>
        <w:numPr>
          <w:ilvl w:val="0"/>
          <w:numId w:val="4"/>
        </w:numPr>
        <w:spacing w:after="60" w:line="276" w:lineRule="auto"/>
        <w:jc w:val="both"/>
        <w:rPr>
          <w:rFonts w:ascii="Times New Roman" w:hAnsi="Times New Roman" w:cs="Times New Roman"/>
          <w:bCs/>
          <w:sz w:val="24"/>
          <w:szCs w:val="24"/>
        </w:rPr>
      </w:pPr>
      <w:r w:rsidRPr="00BD21AD">
        <w:rPr>
          <w:rFonts w:ascii="Times New Roman" w:hAnsi="Times New Roman" w:cs="Times New Roman"/>
          <w:bCs/>
          <w:sz w:val="24"/>
          <w:szCs w:val="24"/>
        </w:rPr>
        <w:t xml:space="preserve">конкретен модел, </w:t>
      </w:r>
    </w:p>
    <w:p w:rsidR="00420097" w:rsidRPr="00BD21AD" w:rsidRDefault="00420097" w:rsidP="00BD21AD">
      <w:pPr>
        <w:numPr>
          <w:ilvl w:val="0"/>
          <w:numId w:val="4"/>
        </w:numPr>
        <w:spacing w:after="60" w:line="276" w:lineRule="auto"/>
        <w:jc w:val="both"/>
        <w:rPr>
          <w:rFonts w:ascii="Times New Roman" w:hAnsi="Times New Roman" w:cs="Times New Roman"/>
          <w:bCs/>
          <w:sz w:val="24"/>
          <w:szCs w:val="24"/>
        </w:rPr>
      </w:pPr>
      <w:r w:rsidRPr="00BD21AD">
        <w:rPr>
          <w:rFonts w:ascii="Times New Roman" w:hAnsi="Times New Roman" w:cs="Times New Roman"/>
          <w:bCs/>
          <w:sz w:val="24"/>
          <w:szCs w:val="24"/>
        </w:rPr>
        <w:t xml:space="preserve">източник или специфичен процес, който характеризира продуктите или услугите, предлагани от конкретен потенциален изпълнител, </w:t>
      </w:r>
    </w:p>
    <w:p w:rsidR="00420097" w:rsidRPr="00BD21AD" w:rsidRDefault="00420097" w:rsidP="00BD21AD">
      <w:pPr>
        <w:numPr>
          <w:ilvl w:val="0"/>
          <w:numId w:val="4"/>
        </w:numPr>
        <w:spacing w:after="60" w:line="276" w:lineRule="auto"/>
        <w:jc w:val="both"/>
        <w:rPr>
          <w:rFonts w:ascii="Times New Roman" w:hAnsi="Times New Roman" w:cs="Times New Roman"/>
          <w:bCs/>
          <w:sz w:val="24"/>
          <w:szCs w:val="24"/>
        </w:rPr>
      </w:pPr>
      <w:r w:rsidRPr="00BD21AD">
        <w:rPr>
          <w:rFonts w:ascii="Times New Roman" w:hAnsi="Times New Roman" w:cs="Times New Roman"/>
          <w:bCs/>
          <w:sz w:val="24"/>
          <w:szCs w:val="24"/>
        </w:rPr>
        <w:t>нито търговска марка, патент, тип или конкретен произход или производство,</w:t>
      </w:r>
    </w:p>
    <w:p w:rsidR="00420097" w:rsidRPr="00BD21AD" w:rsidRDefault="00420097" w:rsidP="00BD21AD">
      <w:pPr>
        <w:spacing w:after="60" w:line="276" w:lineRule="auto"/>
        <w:ind w:firstLine="567"/>
        <w:jc w:val="both"/>
        <w:rPr>
          <w:rFonts w:ascii="Times New Roman" w:hAnsi="Times New Roman" w:cs="Times New Roman"/>
          <w:bCs/>
          <w:sz w:val="24"/>
          <w:szCs w:val="24"/>
        </w:rPr>
      </w:pPr>
      <w:r w:rsidRPr="00BD21AD">
        <w:rPr>
          <w:rFonts w:ascii="Times New Roman" w:hAnsi="Times New Roman" w:cs="Times New Roman"/>
          <w:bCs/>
          <w:sz w:val="24"/>
          <w:szCs w:val="24"/>
        </w:rPr>
        <w:t xml:space="preserve">което би довело до облагодетелстване или елиминиране на определени лица или някои продукти. </w:t>
      </w:r>
    </w:p>
    <w:p w:rsidR="00420097" w:rsidRPr="00BD21AD" w:rsidRDefault="00420097" w:rsidP="00BD21AD">
      <w:pPr>
        <w:spacing w:after="60" w:line="276" w:lineRule="auto"/>
        <w:ind w:firstLine="567"/>
        <w:jc w:val="both"/>
        <w:rPr>
          <w:rFonts w:ascii="Times New Roman" w:hAnsi="Times New Roman" w:cs="Times New Roman"/>
          <w:bCs/>
          <w:sz w:val="24"/>
          <w:szCs w:val="24"/>
        </w:rPr>
      </w:pPr>
      <w:r w:rsidRPr="00BD21AD">
        <w:rPr>
          <w:rFonts w:ascii="Times New Roman" w:hAnsi="Times New Roman" w:cs="Times New Roman"/>
          <w:bCs/>
          <w:sz w:val="24"/>
          <w:szCs w:val="24"/>
        </w:rPr>
        <w:t>Всяко посочване в техническите спецификации на информация, насочваща към конкретен модел, източник, процес, търговска марка, патент или друго подобно, което би довело до облагодетелстването или елиминирането на определени лица или продукти, а когато предвид спецификата на предмета това е обективно невъзможно, след посочването им се добавят думите "или еквивалентно".</w:t>
      </w:r>
    </w:p>
    <w:p w:rsidR="00420097" w:rsidRPr="00BD21AD" w:rsidRDefault="00420097" w:rsidP="00BD21AD">
      <w:pPr>
        <w:spacing w:after="60" w:line="276" w:lineRule="auto"/>
        <w:ind w:firstLine="567"/>
        <w:jc w:val="both"/>
        <w:rPr>
          <w:rFonts w:ascii="Times New Roman" w:hAnsi="Times New Roman" w:cs="Times New Roman"/>
          <w:bCs/>
          <w:sz w:val="24"/>
          <w:szCs w:val="24"/>
        </w:rPr>
      </w:pPr>
      <w:r w:rsidRPr="00BD21AD">
        <w:rPr>
          <w:rFonts w:ascii="Times New Roman" w:hAnsi="Times New Roman" w:cs="Times New Roman"/>
          <w:b/>
          <w:bCs/>
          <w:sz w:val="24"/>
          <w:szCs w:val="24"/>
        </w:rPr>
        <w:t>Особено внимание бенефициентите, които не са възложители по смисъла на Закона за обществените поръчки следва да обърнат на следното</w:t>
      </w:r>
      <w:r w:rsidRPr="00BD21AD">
        <w:rPr>
          <w:rFonts w:ascii="Times New Roman" w:hAnsi="Times New Roman" w:cs="Times New Roman"/>
          <w:bCs/>
          <w:sz w:val="24"/>
          <w:szCs w:val="24"/>
        </w:rPr>
        <w:t>:</w:t>
      </w:r>
    </w:p>
    <w:p w:rsidR="00420097" w:rsidRPr="00BD21AD" w:rsidRDefault="00420097" w:rsidP="00BD21AD">
      <w:pPr>
        <w:spacing w:after="60" w:line="276" w:lineRule="auto"/>
        <w:ind w:firstLine="567"/>
        <w:jc w:val="both"/>
        <w:rPr>
          <w:rFonts w:ascii="Times New Roman" w:hAnsi="Times New Roman" w:cs="Times New Roman"/>
          <w:bCs/>
          <w:sz w:val="24"/>
          <w:szCs w:val="24"/>
        </w:rPr>
      </w:pPr>
      <w:r w:rsidRPr="00BD21AD">
        <w:rPr>
          <w:rFonts w:ascii="Times New Roman" w:hAnsi="Times New Roman" w:cs="Times New Roman"/>
          <w:bCs/>
          <w:sz w:val="24"/>
          <w:szCs w:val="24"/>
        </w:rPr>
        <w:t>При подаване на заявлението за подпомагане, ако са представени независими оферти, в които се съдържат данни от вида на посочените по-горе, които насочват към конкретен модел, източник или процес, марка, патент, тип или др., или по друг начин биха могли да бъдат създадени необосновани пречки пред конкуренцията или по друг начин не би се осигурил равен достъп на участниците, при представяне на техническите спецификации, тези въпроси следва да бъдат елиминирани. Техническите спецификации за планираната процедурата за избор следва да бъдат в пълно съответствие със законодателството независимо от информацията, представена при кандидатстването.</w:t>
      </w:r>
    </w:p>
    <w:p w:rsidR="00420097" w:rsidRPr="00BD21AD" w:rsidRDefault="00420097" w:rsidP="00BD21AD">
      <w:pPr>
        <w:spacing w:after="60" w:line="276" w:lineRule="auto"/>
        <w:ind w:firstLine="567"/>
        <w:jc w:val="both"/>
        <w:rPr>
          <w:rFonts w:ascii="Times New Roman" w:hAnsi="Times New Roman" w:cs="Times New Roman"/>
          <w:bCs/>
          <w:sz w:val="24"/>
          <w:szCs w:val="24"/>
        </w:rPr>
      </w:pPr>
      <w:r w:rsidRPr="00BD21AD">
        <w:rPr>
          <w:rFonts w:ascii="Times New Roman" w:hAnsi="Times New Roman" w:cs="Times New Roman"/>
          <w:b/>
          <w:bCs/>
          <w:sz w:val="24"/>
          <w:szCs w:val="24"/>
        </w:rPr>
        <w:t>Специално по отношение на доставките</w:t>
      </w:r>
      <w:r w:rsidRPr="00BD21AD">
        <w:rPr>
          <w:rFonts w:ascii="Times New Roman" w:hAnsi="Times New Roman" w:cs="Times New Roman"/>
          <w:bCs/>
          <w:sz w:val="24"/>
          <w:szCs w:val="24"/>
        </w:rPr>
        <w:t xml:space="preserve">, </w:t>
      </w:r>
      <w:r w:rsidRPr="00BD21AD">
        <w:rPr>
          <w:rFonts w:ascii="Times New Roman" w:hAnsi="Times New Roman" w:cs="Times New Roman"/>
          <w:b/>
          <w:bCs/>
          <w:sz w:val="24"/>
          <w:szCs w:val="24"/>
        </w:rPr>
        <w:t>бенефициентите, които не са възложители по смисъла на Закона за обществените поръчки</w:t>
      </w:r>
      <w:r w:rsidRPr="00BD21AD">
        <w:rPr>
          <w:rFonts w:ascii="Times New Roman" w:hAnsi="Times New Roman" w:cs="Times New Roman"/>
          <w:bCs/>
          <w:sz w:val="24"/>
          <w:szCs w:val="24"/>
        </w:rPr>
        <w:t xml:space="preserve"> следва да определят по такъв начин техническите спецификации, че комбинацията от техническите изисквания към предмета на доставката да не води до предопределянето на един единствено възможен продукт (често срещана грешка особено при доставката на моторни превозни средства или доставка на хардуер). Техническите параметри трябва да бъдат залагани чрез посочване на характеристиките на предмета на доставката с определяеми стойности – напр. „от – до“, или „минимум…“. Посочването на максимални стойности на дадена характеристика на предмета на поръчката трябва да се избягва, освен ако това не е обусловено от други изисквания извън конкретната процедура за избор с публична покана (напр. с цел осигуряване на работна съвместимост, ограничено пространство и др.). Поставянето на твърде специфични изисквания към някакъв елемент от предмета на доставката, който самостоятелно или в комбинацията с други изисквания няма аналог, също е недопустимо.</w:t>
      </w:r>
    </w:p>
    <w:p w:rsidR="0004117C" w:rsidRPr="00BD21AD" w:rsidRDefault="0004117C" w:rsidP="00BD21AD">
      <w:pPr>
        <w:pStyle w:val="BodyText"/>
        <w:tabs>
          <w:tab w:val="center" w:pos="993"/>
        </w:tabs>
        <w:spacing w:line="276" w:lineRule="auto"/>
        <w:rPr>
          <w:rFonts w:cs="Times New Roman"/>
          <w:szCs w:val="24"/>
          <w:lang w:val="bg-BG"/>
        </w:rPr>
      </w:pPr>
    </w:p>
    <w:p w:rsidR="001E7933" w:rsidRPr="00BD21AD" w:rsidRDefault="001E7933" w:rsidP="00BD21AD">
      <w:pPr>
        <w:pStyle w:val="BodyText"/>
        <w:tabs>
          <w:tab w:val="center" w:pos="993"/>
        </w:tabs>
        <w:spacing w:line="276" w:lineRule="auto"/>
        <w:rPr>
          <w:rFonts w:cs="Times New Roman"/>
          <w:szCs w:val="24"/>
          <w:lang w:val="bg-BG"/>
        </w:rPr>
      </w:pPr>
    </w:p>
    <w:p w:rsidR="001E7933" w:rsidRPr="00BD21AD" w:rsidRDefault="001E7933" w:rsidP="00BD21AD">
      <w:pPr>
        <w:pStyle w:val="BodyText"/>
        <w:tabs>
          <w:tab w:val="center" w:pos="993"/>
        </w:tabs>
        <w:spacing w:line="276" w:lineRule="auto"/>
        <w:rPr>
          <w:rFonts w:cs="Times New Roman"/>
          <w:b/>
          <w:szCs w:val="24"/>
          <w:u w:val="single"/>
          <w:lang w:val="bg-BG"/>
        </w:rPr>
      </w:pPr>
      <w:r w:rsidRPr="00BD21AD">
        <w:rPr>
          <w:rFonts w:cs="Times New Roman"/>
          <w:b/>
          <w:szCs w:val="24"/>
          <w:u w:val="single"/>
          <w:lang w:val="bg-BG"/>
        </w:rPr>
        <w:lastRenderedPageBreak/>
        <w:t xml:space="preserve">2. В ИСУН е въведена нова опция „провеждане на процедури по ПМС 160/2016 преди сключване на договор за БФП. За да е приложима тя трябва да е заложена от УО/МИГ още при създаване на самата процедура в ИСУН и предоставя възможността кандидат, който вече е подал проектно предложение, но още не е сключил  договор за БФП да проведе публична покана по реда на ПМС 160. </w:t>
      </w:r>
    </w:p>
    <w:p w:rsidR="001E7933" w:rsidRPr="00BD21AD" w:rsidRDefault="001E7933" w:rsidP="00BD21AD">
      <w:pPr>
        <w:pStyle w:val="BodyText"/>
        <w:tabs>
          <w:tab w:val="center" w:pos="993"/>
        </w:tabs>
        <w:spacing w:line="276" w:lineRule="auto"/>
        <w:rPr>
          <w:rFonts w:cs="Times New Roman"/>
          <w:b/>
          <w:szCs w:val="24"/>
          <w:u w:val="single"/>
          <w:lang w:val="bg-BG"/>
        </w:rPr>
      </w:pPr>
      <w:r w:rsidRPr="00BD21AD">
        <w:rPr>
          <w:rFonts w:cs="Times New Roman"/>
          <w:b/>
          <w:szCs w:val="24"/>
          <w:u w:val="single"/>
          <w:lang w:val="bg-BG"/>
        </w:rPr>
        <w:t xml:space="preserve">Смятаме, че тази опция е практична и полезна за кандидатите, в случаите когато някои от тях биха избрали изпълнителите си на свой риск преди одобрение на проекта, за да не се променят цените, да изтече валидността на офертите или ако имат спешна необходимост в производството от активите включени  в проекта, доколкото понякога процесът на одобрение на проектите е твърде дълъг. </w:t>
      </w:r>
    </w:p>
    <w:p w:rsidR="002A02AA" w:rsidRPr="00BD21AD" w:rsidRDefault="002A02AA" w:rsidP="00BD21AD">
      <w:pPr>
        <w:pStyle w:val="BodyText"/>
        <w:tabs>
          <w:tab w:val="center" w:pos="993"/>
        </w:tabs>
        <w:spacing w:line="276" w:lineRule="auto"/>
        <w:rPr>
          <w:rFonts w:cs="Times New Roman"/>
          <w:b/>
          <w:szCs w:val="24"/>
          <w:u w:val="single"/>
          <w:lang w:val="bg-BG"/>
        </w:rPr>
      </w:pPr>
      <w:r w:rsidRPr="00BD21AD">
        <w:rPr>
          <w:rFonts w:cs="Times New Roman"/>
          <w:b/>
          <w:szCs w:val="24"/>
          <w:u w:val="single"/>
          <w:lang w:val="bg-BG"/>
        </w:rPr>
        <w:t xml:space="preserve">В новото Ръководство на бенефициента, както и в Процедурата  за осъществяване на предварителна проверка и последващ контрол върху обществени поръчки и процедури за избор с публична покана за разходи, финансирани изцяло или частично със средства от ЕЗФРСР, публикувани на сайта на ДФЗ са предвидени: последващ контрол върху процедури по ПМС 160 проведени преди подаване на проекта и последващ контрол върху процедури по ПМС 160 след сключване на договора за БФП. Няма процедура за последващ контрол на избор на изпълнители по ПМС 160 след подаване на проекта и преди сключване на договора за БФП. </w:t>
      </w:r>
    </w:p>
    <w:p w:rsidR="002A02AA" w:rsidRPr="00BD21AD" w:rsidRDefault="002A02AA" w:rsidP="00BD21AD">
      <w:pPr>
        <w:pStyle w:val="BodyText"/>
        <w:tabs>
          <w:tab w:val="center" w:pos="993"/>
        </w:tabs>
        <w:spacing w:line="276" w:lineRule="auto"/>
        <w:rPr>
          <w:rFonts w:cs="Times New Roman"/>
          <w:b/>
          <w:szCs w:val="24"/>
          <w:u w:val="single"/>
          <w:lang w:val="bg-BG"/>
        </w:rPr>
      </w:pPr>
      <w:r w:rsidRPr="00BD21AD">
        <w:rPr>
          <w:rFonts w:cs="Times New Roman"/>
          <w:b/>
          <w:szCs w:val="24"/>
          <w:u w:val="single"/>
          <w:lang w:val="bg-BG"/>
        </w:rPr>
        <w:t xml:space="preserve">Въпрос: Допустимо ли е според УО/ДФЗ да се провеждат процедури за избор на доставчици и изпълнители от бенефициентите по ПРСР след подаване на проекта и преди подписване на договор за БФП и ако да коя процедура за последващ контрол ще се прилага за тях. </w:t>
      </w:r>
    </w:p>
    <w:p w:rsidR="002A02AA" w:rsidRPr="00BD21AD" w:rsidRDefault="002A02AA" w:rsidP="00BD21AD">
      <w:pPr>
        <w:pStyle w:val="BodyText"/>
        <w:tabs>
          <w:tab w:val="center" w:pos="993"/>
        </w:tabs>
        <w:spacing w:line="276" w:lineRule="auto"/>
        <w:rPr>
          <w:rFonts w:cs="Times New Roman"/>
          <w:b/>
          <w:szCs w:val="24"/>
          <w:u w:val="single"/>
          <w:lang w:val="bg-BG"/>
        </w:rPr>
      </w:pPr>
    </w:p>
    <w:p w:rsidR="002A02AA" w:rsidRPr="00BD21AD" w:rsidRDefault="002A02AA" w:rsidP="00BD21AD">
      <w:pPr>
        <w:pStyle w:val="BodyText"/>
        <w:tabs>
          <w:tab w:val="center" w:pos="993"/>
        </w:tabs>
        <w:spacing w:line="276" w:lineRule="auto"/>
        <w:rPr>
          <w:rFonts w:cs="Times New Roman"/>
          <w:szCs w:val="24"/>
          <w:lang w:val="bg-BG"/>
        </w:rPr>
      </w:pPr>
    </w:p>
    <w:p w:rsidR="00B948A4" w:rsidRPr="00BD21AD" w:rsidRDefault="002B4C37" w:rsidP="00BD21AD">
      <w:pPr>
        <w:pStyle w:val="BodyText"/>
        <w:tabs>
          <w:tab w:val="center" w:pos="993"/>
        </w:tabs>
        <w:spacing w:line="276" w:lineRule="auto"/>
        <w:rPr>
          <w:rFonts w:cs="Times New Roman"/>
          <w:szCs w:val="24"/>
          <w:shd w:val="clear" w:color="auto" w:fill="FFFFFF"/>
          <w:lang w:val="bg-BG"/>
        </w:rPr>
      </w:pPr>
      <w:r w:rsidRPr="00BD21AD">
        <w:rPr>
          <w:rFonts w:cs="Times New Roman"/>
          <w:szCs w:val="24"/>
          <w:shd w:val="clear" w:color="auto" w:fill="FFFFFF"/>
          <w:lang w:val="bg-BG"/>
        </w:rPr>
        <w:t xml:space="preserve">Може би имате предвид актуализацията на ИСУН от </w:t>
      </w:r>
      <w:r w:rsidRPr="00BD21AD">
        <w:rPr>
          <w:rFonts w:cs="Times New Roman"/>
          <w:szCs w:val="24"/>
          <w:lang w:val="bg-BG"/>
        </w:rPr>
        <w:br/>
      </w:r>
      <w:r w:rsidRPr="00BD21AD">
        <w:rPr>
          <w:rFonts w:cs="Times New Roman"/>
          <w:szCs w:val="24"/>
          <w:shd w:val="clear" w:color="auto" w:fill="FFFFFF"/>
          <w:lang w:val="bg-BG"/>
        </w:rPr>
        <w:t>18.12.2020 г. …“В модул "Е-кандидатстване"</w:t>
      </w:r>
      <w:r w:rsidR="000F1DDC">
        <w:rPr>
          <w:rFonts w:cs="Times New Roman"/>
          <w:szCs w:val="24"/>
          <w:shd w:val="clear" w:color="auto" w:fill="FFFFFF"/>
          <w:lang w:val="bg-BG"/>
        </w:rPr>
        <w:t>,</w:t>
      </w:r>
      <w:r w:rsidRPr="00BD21AD">
        <w:rPr>
          <w:rFonts w:cs="Times New Roman"/>
          <w:szCs w:val="24"/>
          <w:shd w:val="clear" w:color="auto" w:fill="FFFFFF"/>
          <w:lang w:val="bg-BG"/>
        </w:rPr>
        <w:t xml:space="preserve"> е създадена нова секция "Моите е-тръжни процедури" в раздел "Е-тръжни процедури". Чрез посочената секция е създадена възможност кандидати да обявяват процедури за избор на изпълнител преди приключването на процеса по оценка и сключване на договор за БФП“. </w:t>
      </w:r>
    </w:p>
    <w:p w:rsidR="00B948A4" w:rsidRPr="00BD21AD" w:rsidRDefault="00B948A4" w:rsidP="00BD21AD">
      <w:pPr>
        <w:pStyle w:val="BodyText"/>
        <w:tabs>
          <w:tab w:val="center" w:pos="993"/>
        </w:tabs>
        <w:spacing w:line="276" w:lineRule="auto"/>
        <w:rPr>
          <w:rFonts w:cs="Times New Roman"/>
          <w:szCs w:val="24"/>
          <w:shd w:val="clear" w:color="auto" w:fill="FFFFFF"/>
          <w:lang w:val="bg-BG"/>
        </w:rPr>
      </w:pPr>
    </w:p>
    <w:p w:rsidR="00173E86" w:rsidRPr="00BD21AD" w:rsidRDefault="002B4C37" w:rsidP="00BD21AD">
      <w:pPr>
        <w:pStyle w:val="BodyText"/>
        <w:tabs>
          <w:tab w:val="center" w:pos="993"/>
        </w:tabs>
        <w:spacing w:line="276" w:lineRule="auto"/>
        <w:rPr>
          <w:rFonts w:cs="Times New Roman"/>
          <w:szCs w:val="24"/>
          <w:shd w:val="clear" w:color="auto" w:fill="FFFFFF"/>
          <w:lang w:val="bg-BG"/>
        </w:rPr>
      </w:pPr>
      <w:r w:rsidRPr="00BD21AD">
        <w:rPr>
          <w:rFonts w:cs="Times New Roman"/>
          <w:szCs w:val="24"/>
          <w:shd w:val="clear" w:color="auto" w:fill="FFFFFF"/>
          <w:lang w:val="bg-BG"/>
        </w:rPr>
        <w:t>Да, тази възможност е предвидена</w:t>
      </w:r>
      <w:r w:rsidR="002A02AA" w:rsidRPr="00BD21AD">
        <w:rPr>
          <w:rFonts w:cs="Times New Roman"/>
          <w:szCs w:val="24"/>
          <w:shd w:val="clear" w:color="auto" w:fill="FFFFFF"/>
          <w:lang w:val="bg-BG"/>
        </w:rPr>
        <w:t xml:space="preserve"> от ИСУН</w:t>
      </w:r>
      <w:r w:rsidR="00B948A4" w:rsidRPr="00BD21AD">
        <w:rPr>
          <w:rFonts w:cs="Times New Roman"/>
          <w:szCs w:val="24"/>
          <w:shd w:val="clear" w:color="auto" w:fill="FFFFFF"/>
          <w:lang w:val="bg-BG"/>
        </w:rPr>
        <w:t xml:space="preserve"> и може да се използва след подаване на проектното предложения</w:t>
      </w:r>
      <w:r w:rsidRPr="00BD21AD">
        <w:rPr>
          <w:rFonts w:cs="Times New Roman"/>
          <w:szCs w:val="24"/>
          <w:shd w:val="clear" w:color="auto" w:fill="FFFFFF"/>
          <w:lang w:val="bg-BG"/>
        </w:rPr>
        <w:t>, но</w:t>
      </w:r>
      <w:r w:rsidR="002A02AA" w:rsidRPr="00BD21AD">
        <w:rPr>
          <w:rFonts w:cs="Times New Roman"/>
          <w:szCs w:val="24"/>
          <w:shd w:val="clear" w:color="auto" w:fill="FFFFFF"/>
          <w:lang w:val="bg-BG"/>
        </w:rPr>
        <w:t xml:space="preserve"> тя може да си прилага, ако това е разписано в нормативната уредба. </w:t>
      </w:r>
    </w:p>
    <w:p w:rsidR="00173E86" w:rsidRPr="00BD21AD" w:rsidRDefault="00173E86" w:rsidP="00BD21AD">
      <w:pPr>
        <w:pStyle w:val="BodyText"/>
        <w:tabs>
          <w:tab w:val="center" w:pos="993"/>
        </w:tabs>
        <w:spacing w:line="276" w:lineRule="auto"/>
        <w:rPr>
          <w:rFonts w:cs="Times New Roman"/>
          <w:szCs w:val="24"/>
          <w:shd w:val="clear" w:color="auto" w:fill="FFFFFF"/>
          <w:lang w:val="bg-BG"/>
        </w:rPr>
      </w:pPr>
    </w:p>
    <w:p w:rsidR="00264BBD" w:rsidRDefault="002A02AA" w:rsidP="00BD21AD">
      <w:pPr>
        <w:pStyle w:val="BodyText"/>
        <w:tabs>
          <w:tab w:val="center" w:pos="993"/>
        </w:tabs>
        <w:spacing w:line="276" w:lineRule="auto"/>
        <w:rPr>
          <w:rFonts w:cs="Times New Roman"/>
          <w:szCs w:val="24"/>
          <w:shd w:val="clear" w:color="auto" w:fill="FFFFFF"/>
          <w:lang w:val="bg-BG"/>
        </w:rPr>
      </w:pPr>
      <w:r w:rsidRPr="00BD21AD">
        <w:rPr>
          <w:rFonts w:cs="Times New Roman"/>
          <w:szCs w:val="24"/>
          <w:shd w:val="clear" w:color="auto" w:fill="FFFFFF"/>
          <w:lang w:val="bg-BG"/>
        </w:rPr>
        <w:t>П</w:t>
      </w:r>
      <w:r w:rsidR="002B4C37" w:rsidRPr="00BD21AD">
        <w:rPr>
          <w:rFonts w:cs="Times New Roman"/>
          <w:szCs w:val="24"/>
          <w:shd w:val="clear" w:color="auto" w:fill="FFFFFF"/>
          <w:lang w:val="bg-BG"/>
        </w:rPr>
        <w:t xml:space="preserve">ровеждането на процедура по </w:t>
      </w:r>
      <w:r w:rsidRPr="00BD21AD">
        <w:rPr>
          <w:rFonts w:cs="Times New Roman"/>
          <w:szCs w:val="24"/>
          <w:shd w:val="clear" w:color="auto" w:fill="FFFFFF"/>
          <w:lang w:val="bg-BG"/>
        </w:rPr>
        <w:t xml:space="preserve">реда на </w:t>
      </w:r>
      <w:r w:rsidR="002B4C37" w:rsidRPr="00BD21AD">
        <w:rPr>
          <w:rFonts w:cs="Times New Roman"/>
          <w:szCs w:val="24"/>
          <w:shd w:val="clear" w:color="auto" w:fill="FFFFFF"/>
          <w:lang w:val="bg-BG"/>
        </w:rPr>
        <w:t xml:space="preserve">ПМС </w:t>
      </w:r>
      <w:r w:rsidRPr="00BD21AD">
        <w:rPr>
          <w:rFonts w:cs="Times New Roman"/>
          <w:szCs w:val="24"/>
          <w:shd w:val="clear" w:color="auto" w:fill="FFFFFF"/>
          <w:lang w:val="bg-BG"/>
        </w:rPr>
        <w:t xml:space="preserve">160 </w:t>
      </w:r>
      <w:r w:rsidR="00B82B80" w:rsidRPr="00BD21AD">
        <w:rPr>
          <w:rFonts w:cs="Times New Roman"/>
          <w:szCs w:val="24"/>
          <w:shd w:val="clear" w:color="auto" w:fill="FFFFFF"/>
          <w:lang w:val="bg-BG"/>
        </w:rPr>
        <w:t>се извършва</w:t>
      </w:r>
      <w:r w:rsidRPr="00BD21AD">
        <w:rPr>
          <w:rFonts w:cs="Times New Roman"/>
          <w:szCs w:val="24"/>
          <w:shd w:val="clear" w:color="auto" w:fill="FFFFFF"/>
          <w:lang w:val="bg-BG"/>
        </w:rPr>
        <w:t xml:space="preserve"> </w:t>
      </w:r>
      <w:r w:rsidR="002B4C37" w:rsidRPr="00BD21AD">
        <w:rPr>
          <w:rFonts w:cs="Times New Roman"/>
          <w:szCs w:val="24"/>
          <w:shd w:val="clear" w:color="auto" w:fill="FFFFFF"/>
          <w:lang w:val="bg-BG"/>
        </w:rPr>
        <w:t xml:space="preserve">след сключване на административен договор и при спазване на утвърдената </w:t>
      </w:r>
      <w:r w:rsidRPr="00BD21AD">
        <w:rPr>
          <w:rFonts w:cs="Times New Roman"/>
          <w:szCs w:val="24"/>
          <w:shd w:val="clear" w:color="auto" w:fill="FFFFFF"/>
          <w:lang w:val="bg-BG"/>
        </w:rPr>
        <w:t>Процедура за осъществяване на предварителна проверка и последващ контрол върху обществени поръчки и процедури за избор с публична покана за разходи, финансирани изцяло или частично със средства от ЕЗФРСР, качена</w:t>
      </w:r>
      <w:r w:rsidR="0035614B" w:rsidRPr="00BD21AD">
        <w:rPr>
          <w:rFonts w:cs="Times New Roman"/>
          <w:szCs w:val="24"/>
          <w:shd w:val="clear" w:color="auto" w:fill="FFFFFF"/>
          <w:lang w:val="bg-BG"/>
        </w:rPr>
        <w:t xml:space="preserve"> на официалната страница на ДФ</w:t>
      </w:r>
      <w:r w:rsidR="004D679F">
        <w:rPr>
          <w:rFonts w:cs="Times New Roman"/>
          <w:szCs w:val="24"/>
          <w:shd w:val="clear" w:color="auto" w:fill="FFFFFF"/>
          <w:lang w:val="bg-BG"/>
        </w:rPr>
        <w:t xml:space="preserve"> „</w:t>
      </w:r>
      <w:r w:rsidR="0035614B" w:rsidRPr="00BD21AD">
        <w:rPr>
          <w:rFonts w:cs="Times New Roman"/>
          <w:szCs w:val="24"/>
          <w:shd w:val="clear" w:color="auto" w:fill="FFFFFF"/>
          <w:lang w:val="bg-BG"/>
        </w:rPr>
        <w:t>З</w:t>
      </w:r>
      <w:r w:rsidR="004D679F">
        <w:rPr>
          <w:rFonts w:cs="Times New Roman"/>
          <w:szCs w:val="24"/>
          <w:shd w:val="clear" w:color="auto" w:fill="FFFFFF"/>
          <w:lang w:val="bg-BG"/>
        </w:rPr>
        <w:t>емеделие“</w:t>
      </w:r>
      <w:r w:rsidR="00173E86" w:rsidRPr="00BD21AD">
        <w:rPr>
          <w:rFonts w:cs="Times New Roman"/>
          <w:szCs w:val="24"/>
          <w:shd w:val="clear" w:color="auto" w:fill="FFFFFF"/>
          <w:lang w:val="bg-BG"/>
        </w:rPr>
        <w:t>. Това изрично е заложено</w:t>
      </w:r>
      <w:r w:rsidR="007B69C9">
        <w:rPr>
          <w:rFonts w:cs="Times New Roman"/>
          <w:szCs w:val="24"/>
          <w:shd w:val="clear" w:color="auto" w:fill="FFFFFF"/>
          <w:lang w:val="bg-BG"/>
        </w:rPr>
        <w:t xml:space="preserve"> и</w:t>
      </w:r>
      <w:r w:rsidR="00173E86" w:rsidRPr="00BD21AD">
        <w:rPr>
          <w:rFonts w:cs="Times New Roman"/>
          <w:szCs w:val="24"/>
          <w:shd w:val="clear" w:color="auto" w:fill="FFFFFF"/>
          <w:lang w:val="bg-BG"/>
        </w:rPr>
        <w:t xml:space="preserve"> в чл. 2, ал. 3 от административния договор.</w:t>
      </w:r>
      <w:r w:rsidR="00CB2C9B" w:rsidRPr="00BD21AD">
        <w:rPr>
          <w:rFonts w:cs="Times New Roman"/>
          <w:szCs w:val="24"/>
          <w:shd w:val="clear" w:color="auto" w:fill="FFFFFF"/>
          <w:lang w:val="bg-BG"/>
        </w:rPr>
        <w:t xml:space="preserve"> </w:t>
      </w:r>
      <w:r w:rsidR="00264BBD">
        <w:rPr>
          <w:rFonts w:cs="Times New Roman"/>
          <w:szCs w:val="24"/>
          <w:shd w:val="clear" w:color="auto" w:fill="FFFFFF"/>
          <w:lang w:val="bg-BG"/>
        </w:rPr>
        <w:t xml:space="preserve">Кандидатът следва да обяви процедура, когато ДФ „Земеделие“ вече е одобрил допустимите разходи и процента на субсидия. </w:t>
      </w:r>
    </w:p>
    <w:p w:rsidR="0035614B" w:rsidRPr="00BD21AD" w:rsidRDefault="0035614B" w:rsidP="00BD21AD">
      <w:pPr>
        <w:pStyle w:val="BodyText"/>
        <w:tabs>
          <w:tab w:val="center" w:pos="993"/>
        </w:tabs>
        <w:spacing w:line="276" w:lineRule="auto"/>
        <w:rPr>
          <w:rFonts w:cs="Times New Roman"/>
          <w:szCs w:val="24"/>
          <w:shd w:val="clear" w:color="auto" w:fill="FFFFFF"/>
          <w:lang w:val="bg-BG"/>
        </w:rPr>
      </w:pPr>
    </w:p>
    <w:p w:rsidR="002A62A7" w:rsidRPr="00BD21AD" w:rsidRDefault="002A62A7" w:rsidP="00BD21AD">
      <w:pPr>
        <w:pStyle w:val="BodyText"/>
        <w:tabs>
          <w:tab w:val="center" w:pos="993"/>
        </w:tabs>
        <w:spacing w:line="276" w:lineRule="auto"/>
        <w:rPr>
          <w:rFonts w:cs="Times New Roman"/>
          <w:szCs w:val="24"/>
          <w:lang w:val="bg-BG"/>
        </w:rPr>
      </w:pPr>
    </w:p>
    <w:p w:rsidR="001E7933" w:rsidRPr="00BD21AD" w:rsidRDefault="001E7933" w:rsidP="00BD21AD">
      <w:pPr>
        <w:pStyle w:val="BodyText"/>
        <w:tabs>
          <w:tab w:val="center" w:pos="993"/>
        </w:tabs>
        <w:spacing w:line="276" w:lineRule="auto"/>
        <w:rPr>
          <w:rFonts w:cs="Times New Roman"/>
          <w:b/>
          <w:szCs w:val="24"/>
          <w:u w:val="single"/>
          <w:lang w:val="bg-BG"/>
        </w:rPr>
      </w:pPr>
      <w:r w:rsidRPr="00BD21AD">
        <w:rPr>
          <w:rFonts w:cs="Times New Roman"/>
          <w:b/>
          <w:szCs w:val="24"/>
          <w:u w:val="single"/>
          <w:lang w:val="bg-BG"/>
        </w:rPr>
        <w:t>3. Има ли конкретно определение за разделяне на предмета на поръчката/обекта на публичната покана? По какъв критерий определяме кога активите са сходни и трябва да се обединяват в една процедура с по-висока стойност? Примерно по други програми има дадено помощно указание – приложимо ли е и за ПРСР?</w:t>
      </w:r>
    </w:p>
    <w:p w:rsidR="001E7933" w:rsidRPr="00BD21AD" w:rsidRDefault="001E7933" w:rsidP="00BD21AD">
      <w:pPr>
        <w:pStyle w:val="BodyText"/>
        <w:tabs>
          <w:tab w:val="center" w:pos="993"/>
        </w:tabs>
        <w:spacing w:line="276" w:lineRule="auto"/>
        <w:rPr>
          <w:rFonts w:cs="Times New Roman"/>
          <w:szCs w:val="24"/>
          <w:lang w:val="bg-BG"/>
        </w:rPr>
      </w:pPr>
    </w:p>
    <w:p w:rsidR="001E7933" w:rsidRPr="00BD21AD" w:rsidRDefault="001E7933" w:rsidP="00BD21AD">
      <w:pPr>
        <w:pStyle w:val="BodyText"/>
        <w:tabs>
          <w:tab w:val="center" w:pos="993"/>
        </w:tabs>
        <w:spacing w:line="276" w:lineRule="auto"/>
        <w:rPr>
          <w:rFonts w:cs="Times New Roman"/>
          <w:szCs w:val="24"/>
          <w:lang w:val="bg-BG"/>
        </w:rPr>
      </w:pPr>
      <w:r w:rsidRPr="00BD21AD">
        <w:rPr>
          <w:rFonts w:cs="Times New Roman"/>
          <w:szCs w:val="24"/>
          <w:lang w:val="bg-BG"/>
        </w:rPr>
        <w:lastRenderedPageBreak/>
        <w:t>С оглед недопускане разделяне на предмета на процедурата бенефициентът се ръководи от Общия терминологичен речник, свързан с обществените поръчки (СРV - приет с Регламент (ЕО) № 2195/2002 на Европейския парламент и на Съвета от 5 ноември 2002 г. и неговите последващи изменения). Предметът на процедурата следва да включва доставката на всички стоки или изпълнението на всички услуги, които са</w:t>
      </w:r>
    </w:p>
    <w:p w:rsidR="001E7933" w:rsidRPr="00BD21AD" w:rsidRDefault="001E7933" w:rsidP="00BD21AD">
      <w:pPr>
        <w:pStyle w:val="BodyText"/>
        <w:tabs>
          <w:tab w:val="center" w:pos="993"/>
        </w:tabs>
        <w:spacing w:line="276" w:lineRule="auto"/>
        <w:rPr>
          <w:rFonts w:cs="Times New Roman"/>
          <w:szCs w:val="24"/>
          <w:lang w:val="bg-BG"/>
        </w:rPr>
      </w:pPr>
      <w:r w:rsidRPr="00BD21AD">
        <w:rPr>
          <w:rFonts w:cs="Times New Roman"/>
          <w:szCs w:val="24"/>
          <w:lang w:val="bg-BG"/>
        </w:rPr>
        <w:t>функционално свързани помежду си, независимо в кой раздел от бюджета на проекта са предвидени съответните разходи. Под „функционално свързани“ следва да се разбира стоки/услуги, които се използват за същите или сходни нужди. Същевременно, допустимо е артикули от различни видове да се възлагат чрез отделни процедури, дори когато се съдържат в един и същи ред на бюджета.</w:t>
      </w:r>
    </w:p>
    <w:p w:rsidR="00921C79" w:rsidRPr="00BD21AD" w:rsidRDefault="00921C79" w:rsidP="00BD21AD">
      <w:pPr>
        <w:pStyle w:val="BodyText"/>
        <w:tabs>
          <w:tab w:val="center" w:pos="993"/>
        </w:tabs>
        <w:spacing w:line="276" w:lineRule="auto"/>
        <w:rPr>
          <w:rFonts w:cs="Times New Roman"/>
          <w:szCs w:val="24"/>
          <w:lang w:val="bg-BG"/>
        </w:rPr>
      </w:pPr>
    </w:p>
    <w:p w:rsidR="00921C79" w:rsidRPr="00BD21AD" w:rsidRDefault="00921C79" w:rsidP="00BD21AD">
      <w:pPr>
        <w:pStyle w:val="BodyText"/>
        <w:tabs>
          <w:tab w:val="center" w:pos="993"/>
        </w:tabs>
        <w:spacing w:line="276" w:lineRule="auto"/>
        <w:rPr>
          <w:rFonts w:cs="Times New Roman"/>
          <w:szCs w:val="24"/>
          <w:lang w:val="bg-BG"/>
        </w:rPr>
      </w:pPr>
    </w:p>
    <w:p w:rsidR="008939B6" w:rsidRPr="00BD21AD" w:rsidRDefault="008939B6" w:rsidP="00BD21AD">
      <w:pPr>
        <w:pStyle w:val="BodyText"/>
        <w:tabs>
          <w:tab w:val="center" w:pos="993"/>
        </w:tabs>
        <w:spacing w:line="276" w:lineRule="auto"/>
        <w:rPr>
          <w:rFonts w:cs="Times New Roman"/>
          <w:b/>
          <w:szCs w:val="24"/>
          <w:lang w:val="bg-BG"/>
        </w:rPr>
      </w:pPr>
    </w:p>
    <w:p w:rsidR="001E7933" w:rsidRPr="00BD21AD" w:rsidRDefault="00C72B95" w:rsidP="00BD21AD">
      <w:pPr>
        <w:pStyle w:val="BodyText"/>
        <w:tabs>
          <w:tab w:val="center" w:pos="993"/>
        </w:tabs>
        <w:spacing w:line="276" w:lineRule="auto"/>
        <w:rPr>
          <w:rFonts w:cs="Times New Roman"/>
          <w:color w:val="FF0000"/>
          <w:szCs w:val="24"/>
          <w:lang w:val="bg-BG"/>
        </w:rPr>
      </w:pPr>
      <w:r w:rsidRPr="00BD21AD">
        <w:rPr>
          <w:rFonts w:cs="Times New Roman"/>
          <w:b/>
          <w:color w:val="FF0000"/>
          <w:szCs w:val="24"/>
          <w:lang w:val="bg-BG"/>
        </w:rPr>
        <w:tab/>
      </w:r>
      <w:r w:rsidRPr="00BD21AD">
        <w:rPr>
          <w:rFonts w:cs="Times New Roman"/>
          <w:b/>
          <w:szCs w:val="24"/>
          <w:lang w:val="bg-BG"/>
        </w:rPr>
        <w:t>Отговор от страна ДФЗ:</w:t>
      </w:r>
      <w:r w:rsidRPr="00BD21AD">
        <w:rPr>
          <w:rFonts w:cs="Times New Roman"/>
          <w:szCs w:val="24"/>
          <w:lang w:val="bg-BG"/>
        </w:rPr>
        <w:t xml:space="preserve"> Няма конкретно определение за разделяне на предмета на поръчката/обекта на публичната покана.</w:t>
      </w:r>
    </w:p>
    <w:p w:rsidR="00C72B95" w:rsidRPr="00BD21AD" w:rsidRDefault="00C72B95" w:rsidP="00BD21AD">
      <w:pPr>
        <w:pStyle w:val="BodyText"/>
        <w:tabs>
          <w:tab w:val="center" w:pos="993"/>
        </w:tabs>
        <w:spacing w:line="276" w:lineRule="auto"/>
        <w:rPr>
          <w:rFonts w:cs="Times New Roman"/>
          <w:b/>
          <w:color w:val="FF0000"/>
          <w:szCs w:val="24"/>
          <w:lang w:val="bg-BG"/>
        </w:rPr>
      </w:pPr>
    </w:p>
    <w:p w:rsidR="00C72B95" w:rsidRPr="00BD21AD" w:rsidRDefault="00C72B95" w:rsidP="00BD21AD">
      <w:pPr>
        <w:pStyle w:val="BodyText"/>
        <w:tabs>
          <w:tab w:val="center" w:pos="993"/>
        </w:tabs>
        <w:spacing w:line="276" w:lineRule="auto"/>
        <w:rPr>
          <w:rFonts w:cs="Times New Roman"/>
          <w:szCs w:val="24"/>
          <w:lang w:val="bg-BG"/>
        </w:rPr>
      </w:pPr>
    </w:p>
    <w:p w:rsidR="001E7933" w:rsidRPr="00BD21AD" w:rsidRDefault="001E7933" w:rsidP="00BD21AD">
      <w:pPr>
        <w:pStyle w:val="BodyText"/>
        <w:tabs>
          <w:tab w:val="center" w:pos="993"/>
        </w:tabs>
        <w:spacing w:line="276" w:lineRule="auto"/>
        <w:rPr>
          <w:rFonts w:cs="Times New Roman"/>
          <w:b/>
          <w:szCs w:val="24"/>
          <w:u w:val="single"/>
          <w:lang w:val="bg-BG"/>
        </w:rPr>
      </w:pPr>
      <w:r w:rsidRPr="00BD21AD">
        <w:rPr>
          <w:rFonts w:cs="Times New Roman"/>
          <w:b/>
          <w:szCs w:val="24"/>
          <w:u w:val="single"/>
          <w:lang w:val="bg-BG"/>
        </w:rPr>
        <w:t xml:space="preserve">4. Можете ли да посочите конкретни примери за дискриминационни критерии за оценка на офертите в публична покана, за да се избягват такива грешки? </w:t>
      </w:r>
    </w:p>
    <w:p w:rsidR="009D5446" w:rsidRPr="00BD21AD" w:rsidRDefault="009D5446" w:rsidP="00BD21AD">
      <w:pPr>
        <w:pStyle w:val="BodyText"/>
        <w:tabs>
          <w:tab w:val="center" w:pos="993"/>
        </w:tabs>
        <w:spacing w:line="276" w:lineRule="auto"/>
        <w:rPr>
          <w:rFonts w:cs="Times New Roman"/>
          <w:szCs w:val="24"/>
          <w:lang w:val="bg-BG"/>
        </w:rPr>
      </w:pPr>
    </w:p>
    <w:p w:rsidR="009D5446" w:rsidRPr="00BD21AD" w:rsidRDefault="009D5446" w:rsidP="00BD21AD">
      <w:pPr>
        <w:pStyle w:val="BodyText"/>
        <w:tabs>
          <w:tab w:val="center" w:pos="993"/>
        </w:tabs>
        <w:spacing w:line="276" w:lineRule="auto"/>
        <w:rPr>
          <w:rFonts w:cs="Times New Roman"/>
          <w:szCs w:val="24"/>
          <w:lang w:val="bg-BG"/>
        </w:rPr>
      </w:pPr>
    </w:p>
    <w:p w:rsidR="00D05766" w:rsidRPr="00BD21AD" w:rsidRDefault="00B331C2" w:rsidP="00BD21AD">
      <w:pPr>
        <w:pStyle w:val="BodyText"/>
        <w:tabs>
          <w:tab w:val="left" w:pos="567"/>
          <w:tab w:val="center" w:pos="993"/>
        </w:tabs>
        <w:spacing w:line="276" w:lineRule="auto"/>
        <w:rPr>
          <w:rFonts w:cs="Times New Roman"/>
          <w:szCs w:val="24"/>
          <w:lang w:val="bg-BG"/>
        </w:rPr>
      </w:pPr>
      <w:r w:rsidRPr="00BD21AD">
        <w:rPr>
          <w:rFonts w:cs="Times New Roman"/>
          <w:b/>
          <w:szCs w:val="24"/>
          <w:lang w:val="bg-BG"/>
        </w:rPr>
        <w:t>Отговор от страна на ДФЗ:</w:t>
      </w:r>
      <w:r w:rsidRPr="00BD21AD">
        <w:rPr>
          <w:rFonts w:cs="Times New Roman"/>
          <w:szCs w:val="24"/>
          <w:lang w:val="bg-BG"/>
        </w:rPr>
        <w:t xml:space="preserve"> </w:t>
      </w:r>
      <w:r w:rsidR="00B82B80" w:rsidRPr="00BD21AD">
        <w:rPr>
          <w:rFonts w:cs="Times New Roman"/>
          <w:szCs w:val="24"/>
          <w:lang w:val="bg-BG"/>
        </w:rPr>
        <w:tab/>
      </w:r>
    </w:p>
    <w:p w:rsidR="00B82B80" w:rsidRPr="00BD21AD" w:rsidRDefault="00B82B80" w:rsidP="00BD21AD">
      <w:pPr>
        <w:pStyle w:val="BodyText"/>
        <w:tabs>
          <w:tab w:val="left" w:pos="567"/>
          <w:tab w:val="center" w:pos="993"/>
        </w:tabs>
        <w:spacing w:line="276" w:lineRule="auto"/>
        <w:rPr>
          <w:rFonts w:cs="Times New Roman"/>
          <w:szCs w:val="24"/>
          <w:lang w:val="bg-BG"/>
        </w:rPr>
      </w:pPr>
      <w:r w:rsidRPr="00BD21AD">
        <w:rPr>
          <w:rFonts w:cs="Times New Roman"/>
          <w:szCs w:val="24"/>
          <w:lang w:val="bg-BG"/>
        </w:rPr>
        <w:t xml:space="preserve">Съгласно чл. 3 от ПМС № 160 от 1 юли 2016 г. - Определянето на изпълнител при провеждане на процедура за избор на изпълнител с публична покана се извършва въз основа на икономически най-изгодната оферта. Икономически най-изгодната оферта се определя въз основа на един от следните критерии за възлагане: </w:t>
      </w:r>
    </w:p>
    <w:p w:rsidR="00B82B80" w:rsidRPr="00BD21AD" w:rsidRDefault="00B82B80" w:rsidP="00BD21AD">
      <w:pPr>
        <w:pStyle w:val="BodyText"/>
        <w:numPr>
          <w:ilvl w:val="0"/>
          <w:numId w:val="7"/>
        </w:numPr>
        <w:tabs>
          <w:tab w:val="center" w:pos="993"/>
        </w:tabs>
        <w:spacing w:line="276" w:lineRule="auto"/>
        <w:rPr>
          <w:rFonts w:cs="Times New Roman"/>
          <w:szCs w:val="24"/>
          <w:lang w:val="bg-BG"/>
        </w:rPr>
      </w:pPr>
      <w:r w:rsidRPr="00BD21AD">
        <w:rPr>
          <w:rFonts w:cs="Times New Roman"/>
          <w:szCs w:val="24"/>
          <w:lang w:val="bg-BG"/>
        </w:rPr>
        <w:t xml:space="preserve">най-ниска цена; </w:t>
      </w:r>
    </w:p>
    <w:p w:rsidR="00B82B80" w:rsidRPr="00BD21AD" w:rsidRDefault="00B82B80" w:rsidP="00BD21AD">
      <w:pPr>
        <w:pStyle w:val="BodyText"/>
        <w:numPr>
          <w:ilvl w:val="0"/>
          <w:numId w:val="7"/>
        </w:numPr>
        <w:tabs>
          <w:tab w:val="center" w:pos="993"/>
        </w:tabs>
        <w:spacing w:line="276" w:lineRule="auto"/>
        <w:rPr>
          <w:rFonts w:cs="Times New Roman"/>
          <w:szCs w:val="24"/>
          <w:lang w:val="bg-BG"/>
        </w:rPr>
      </w:pPr>
      <w:r w:rsidRPr="00BD21AD">
        <w:rPr>
          <w:rFonts w:cs="Times New Roman"/>
          <w:szCs w:val="24"/>
          <w:lang w:val="bg-BG"/>
        </w:rPr>
        <w:t>ниво на разходите, като се отчита разходната ефективност, включително разходите за целия жизнен цикъл;</w:t>
      </w:r>
    </w:p>
    <w:p w:rsidR="00B82B80" w:rsidRPr="00BD21AD" w:rsidRDefault="00B82B80" w:rsidP="00BD21AD">
      <w:pPr>
        <w:pStyle w:val="BodyText"/>
        <w:numPr>
          <w:ilvl w:val="0"/>
          <w:numId w:val="7"/>
        </w:numPr>
        <w:tabs>
          <w:tab w:val="center" w:pos="993"/>
        </w:tabs>
        <w:spacing w:after="240" w:line="276" w:lineRule="auto"/>
        <w:rPr>
          <w:rFonts w:cs="Times New Roman"/>
          <w:szCs w:val="24"/>
          <w:lang w:val="bg-BG"/>
        </w:rPr>
      </w:pPr>
      <w:r w:rsidRPr="00BD21AD">
        <w:rPr>
          <w:rFonts w:cs="Times New Roman"/>
          <w:szCs w:val="24"/>
          <w:lang w:val="bg-BG"/>
        </w:rPr>
        <w:t xml:space="preserve">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поръчката. </w:t>
      </w:r>
    </w:p>
    <w:p w:rsidR="00B82B80" w:rsidRPr="00BD21AD" w:rsidRDefault="00B82B80" w:rsidP="00BD21AD">
      <w:pPr>
        <w:pStyle w:val="BodyText"/>
        <w:tabs>
          <w:tab w:val="center" w:pos="567"/>
        </w:tabs>
        <w:spacing w:line="276" w:lineRule="auto"/>
        <w:rPr>
          <w:rFonts w:cs="Times New Roman"/>
          <w:szCs w:val="24"/>
          <w:lang w:val="bg-BG"/>
        </w:rPr>
      </w:pPr>
      <w:r w:rsidRPr="00BD21AD">
        <w:rPr>
          <w:rFonts w:cs="Times New Roman"/>
          <w:szCs w:val="24"/>
          <w:lang w:val="bg-BG"/>
        </w:rPr>
        <w:tab/>
      </w:r>
      <w:r w:rsidRPr="00BD21AD">
        <w:rPr>
          <w:rFonts w:cs="Times New Roman"/>
          <w:szCs w:val="24"/>
          <w:lang w:val="bg-BG"/>
        </w:rPr>
        <w:tab/>
        <w:t>В тази връзка Ви информираме за най-често допусканите грешки</w:t>
      </w:r>
      <w:r w:rsidRPr="00BD21AD">
        <w:rPr>
          <w:szCs w:val="24"/>
        </w:rPr>
        <w:t xml:space="preserve"> </w:t>
      </w:r>
      <w:r w:rsidRPr="00BD21AD">
        <w:rPr>
          <w:rFonts w:cs="Times New Roman"/>
          <w:szCs w:val="24"/>
          <w:lang w:val="bg-BG"/>
        </w:rPr>
        <w:t>при определянето на критериите за възлагане на процедура за избор на изпълнител:</w:t>
      </w:r>
    </w:p>
    <w:p w:rsidR="00B82B80" w:rsidRPr="00BD21AD" w:rsidRDefault="00B82B80" w:rsidP="00BD21AD">
      <w:pPr>
        <w:pStyle w:val="ListParagraph"/>
        <w:numPr>
          <w:ilvl w:val="0"/>
          <w:numId w:val="8"/>
        </w:numPr>
        <w:spacing w:after="0" w:line="276" w:lineRule="auto"/>
        <w:jc w:val="both"/>
        <w:rPr>
          <w:rFonts w:ascii="Times New Roman" w:hAnsi="Times New Roman"/>
          <w:bCs/>
          <w:sz w:val="24"/>
          <w:szCs w:val="24"/>
        </w:rPr>
      </w:pPr>
      <w:r w:rsidRPr="00BD21AD">
        <w:rPr>
          <w:rFonts w:ascii="Times New Roman" w:hAnsi="Times New Roman"/>
          <w:bCs/>
          <w:sz w:val="24"/>
          <w:szCs w:val="24"/>
        </w:rPr>
        <w:t>Начина за определяне на оценката по всеки показател, посочен в методиката за комплексната оценка не дава възможност да се оцени нивото на изпълнение, предложено във всяка оферта, в съответствие с предмета на поръчката и техническите спецификации</w:t>
      </w:r>
      <w:r w:rsidRPr="00BD21AD">
        <w:rPr>
          <w:rFonts w:ascii="Times New Roman" w:eastAsia="Times New Roman" w:hAnsi="Times New Roman" w:cs="Times New Roman"/>
          <w:sz w:val="24"/>
          <w:szCs w:val="24"/>
        </w:rPr>
        <w:t>, ако има такива</w:t>
      </w:r>
      <w:r w:rsidRPr="00BD21AD">
        <w:rPr>
          <w:rFonts w:ascii="Times New Roman" w:hAnsi="Times New Roman"/>
          <w:bCs/>
          <w:sz w:val="24"/>
          <w:szCs w:val="24"/>
        </w:rPr>
        <w:t>;</w:t>
      </w:r>
    </w:p>
    <w:p w:rsidR="00B82B80" w:rsidRPr="00BD21AD" w:rsidRDefault="00B82B80" w:rsidP="00BD21AD">
      <w:pPr>
        <w:pStyle w:val="ListParagraph"/>
        <w:numPr>
          <w:ilvl w:val="0"/>
          <w:numId w:val="8"/>
        </w:numPr>
        <w:spacing w:after="0" w:line="276" w:lineRule="auto"/>
        <w:jc w:val="both"/>
        <w:rPr>
          <w:rFonts w:ascii="Times New Roman" w:hAnsi="Times New Roman"/>
          <w:bCs/>
          <w:sz w:val="24"/>
          <w:szCs w:val="24"/>
        </w:rPr>
      </w:pPr>
      <w:r w:rsidRPr="00BD21AD">
        <w:rPr>
          <w:rFonts w:ascii="Times New Roman" w:hAnsi="Times New Roman"/>
          <w:bCs/>
          <w:sz w:val="24"/>
          <w:szCs w:val="24"/>
        </w:rPr>
        <w:t>Начина за определяне на оценката по всеки показател, посочен в методиката за комплексната оценка не дава възможност да бъдат сравнени и оценени обективно подадените оферти;</w:t>
      </w:r>
    </w:p>
    <w:p w:rsidR="00B82B80" w:rsidRPr="00BD21AD" w:rsidRDefault="00B82B80" w:rsidP="00BD21AD">
      <w:pPr>
        <w:pStyle w:val="ListParagraph"/>
        <w:numPr>
          <w:ilvl w:val="0"/>
          <w:numId w:val="8"/>
        </w:numPr>
        <w:spacing w:after="0" w:line="276" w:lineRule="auto"/>
        <w:jc w:val="both"/>
        <w:rPr>
          <w:rFonts w:ascii="Times New Roman" w:hAnsi="Times New Roman"/>
          <w:bCs/>
          <w:sz w:val="24"/>
          <w:szCs w:val="24"/>
        </w:rPr>
      </w:pPr>
      <w:r w:rsidRPr="00BD21AD">
        <w:rPr>
          <w:rFonts w:ascii="Times New Roman" w:hAnsi="Times New Roman"/>
          <w:bCs/>
          <w:sz w:val="24"/>
          <w:szCs w:val="24"/>
        </w:rPr>
        <w:t>Начина за определяне на оценката по всеки показател, посочен в методиката за комплексната оценка не осигурява на кандидатите за изпълнител достатъчно информация за правилата, които ще се прилагат при определяне на оценката по всеки показател;</w:t>
      </w:r>
    </w:p>
    <w:p w:rsidR="00B82B80" w:rsidRPr="00BD21AD" w:rsidRDefault="00B82B80" w:rsidP="00BD21AD">
      <w:pPr>
        <w:pStyle w:val="ListParagraph"/>
        <w:numPr>
          <w:ilvl w:val="0"/>
          <w:numId w:val="8"/>
        </w:numPr>
        <w:spacing w:after="0" w:line="276" w:lineRule="auto"/>
        <w:jc w:val="both"/>
        <w:rPr>
          <w:rFonts w:ascii="Times New Roman" w:hAnsi="Times New Roman"/>
          <w:bCs/>
          <w:sz w:val="24"/>
          <w:szCs w:val="24"/>
        </w:rPr>
      </w:pPr>
      <w:r w:rsidRPr="00BD21AD">
        <w:rPr>
          <w:rFonts w:ascii="Times New Roman" w:hAnsi="Times New Roman"/>
          <w:bCs/>
          <w:sz w:val="24"/>
          <w:szCs w:val="24"/>
        </w:rPr>
        <w:t xml:space="preserve">При критерий „оптимално съотношение качество/цена” се допускат неясни и субективни качествени показатели в методиката за оценка, създаващи риск от </w:t>
      </w:r>
      <w:r w:rsidRPr="00BD21AD">
        <w:rPr>
          <w:rFonts w:ascii="Times New Roman" w:hAnsi="Times New Roman"/>
          <w:bCs/>
          <w:sz w:val="24"/>
          <w:szCs w:val="24"/>
        </w:rPr>
        <w:lastRenderedPageBreak/>
        <w:t>допускане на субективизъм при работата на оценителите</w:t>
      </w:r>
      <w:r w:rsidRPr="00BD21AD">
        <w:rPr>
          <w:rFonts w:ascii="Times New Roman" w:eastAsia="Times New Roman" w:hAnsi="Times New Roman" w:cs="Times New Roman"/>
          <w:sz w:val="24"/>
          <w:szCs w:val="24"/>
        </w:rPr>
        <w:t>, които участват в разглеждането и оценката на офертите</w:t>
      </w:r>
      <w:r w:rsidRPr="00BD21AD">
        <w:rPr>
          <w:rFonts w:ascii="Times New Roman" w:hAnsi="Times New Roman"/>
          <w:bCs/>
          <w:sz w:val="24"/>
          <w:szCs w:val="24"/>
        </w:rPr>
        <w:t>;</w:t>
      </w:r>
    </w:p>
    <w:p w:rsidR="00B82B80" w:rsidRPr="00BD21AD" w:rsidRDefault="00B82B80" w:rsidP="00BD21AD">
      <w:pPr>
        <w:pStyle w:val="ListParagraph"/>
        <w:numPr>
          <w:ilvl w:val="0"/>
          <w:numId w:val="8"/>
        </w:numPr>
        <w:spacing w:after="0" w:line="276" w:lineRule="auto"/>
        <w:jc w:val="both"/>
        <w:rPr>
          <w:rFonts w:ascii="Times New Roman" w:hAnsi="Times New Roman"/>
          <w:bCs/>
          <w:sz w:val="24"/>
          <w:szCs w:val="24"/>
        </w:rPr>
      </w:pPr>
      <w:r w:rsidRPr="00BD21AD">
        <w:rPr>
          <w:rFonts w:ascii="Times New Roman" w:hAnsi="Times New Roman"/>
          <w:bCs/>
          <w:sz w:val="24"/>
          <w:szCs w:val="24"/>
        </w:rPr>
        <w:t xml:space="preserve">Методиката за оценка не съдържа точни указания за съдържанието на предложението по всеки един от показателите, т.е. какво следва да предложат участниците, за да изпълнят изискванията на бенефициентите, които не са възложители по смисъла на Закона за обществените поръчки; </w:t>
      </w:r>
    </w:p>
    <w:p w:rsidR="00B82B80" w:rsidRPr="00BD21AD" w:rsidRDefault="00B82B80" w:rsidP="00BD21AD">
      <w:pPr>
        <w:pStyle w:val="ListParagraph"/>
        <w:numPr>
          <w:ilvl w:val="0"/>
          <w:numId w:val="8"/>
        </w:numPr>
        <w:spacing w:after="0" w:line="276" w:lineRule="auto"/>
        <w:jc w:val="both"/>
        <w:rPr>
          <w:rFonts w:ascii="Times New Roman" w:hAnsi="Times New Roman"/>
          <w:bCs/>
          <w:sz w:val="24"/>
          <w:szCs w:val="24"/>
        </w:rPr>
      </w:pPr>
      <w:r w:rsidRPr="00BD21AD">
        <w:rPr>
          <w:rFonts w:ascii="Times New Roman" w:hAnsi="Times New Roman"/>
          <w:sz w:val="24"/>
          <w:szCs w:val="24"/>
        </w:rPr>
        <w:t xml:space="preserve">При използване на </w:t>
      </w:r>
      <w:r w:rsidRPr="00BD21AD">
        <w:rPr>
          <w:rFonts w:ascii="Times New Roman" w:hAnsi="Times New Roman"/>
          <w:bCs/>
          <w:sz w:val="24"/>
          <w:szCs w:val="24"/>
        </w:rPr>
        <w:t xml:space="preserve">качествени показатели, </w:t>
      </w:r>
      <w:r w:rsidRPr="00BD21AD">
        <w:rPr>
          <w:rStyle w:val="alb2"/>
          <w:rFonts w:ascii="Times New Roman" w:hAnsi="Times New Roman"/>
          <w:sz w:val="24"/>
          <w:szCs w:val="24"/>
          <w:specVanish w:val="0"/>
        </w:rPr>
        <w:t>които са количествено неопределими</w:t>
      </w:r>
      <w:r w:rsidRPr="00BD21AD">
        <w:rPr>
          <w:rFonts w:ascii="Times New Roman" w:hAnsi="Times New Roman"/>
          <w:bCs/>
          <w:sz w:val="24"/>
          <w:szCs w:val="24"/>
        </w:rPr>
        <w:t>, не са  определени максимално ясни критерии за оценка на офертите;</w:t>
      </w:r>
    </w:p>
    <w:p w:rsidR="00B82B80" w:rsidRPr="00BD21AD" w:rsidRDefault="00B82B80" w:rsidP="00BD21AD">
      <w:pPr>
        <w:pStyle w:val="ListParagraph"/>
        <w:numPr>
          <w:ilvl w:val="0"/>
          <w:numId w:val="8"/>
        </w:numPr>
        <w:spacing w:after="0" w:line="276" w:lineRule="auto"/>
        <w:jc w:val="both"/>
        <w:rPr>
          <w:rStyle w:val="ala2"/>
          <w:rFonts w:ascii="Times New Roman" w:hAnsi="Times New Roman"/>
          <w:bCs/>
          <w:sz w:val="24"/>
          <w:szCs w:val="24"/>
        </w:rPr>
      </w:pPr>
      <w:r w:rsidRPr="00BD21AD">
        <w:rPr>
          <w:rFonts w:ascii="Times New Roman" w:hAnsi="Times New Roman"/>
          <w:bCs/>
          <w:sz w:val="24"/>
          <w:szCs w:val="24"/>
        </w:rPr>
        <w:t>Методиката за оценка не съдържа</w:t>
      </w:r>
      <w:r w:rsidRPr="00BD21AD">
        <w:rPr>
          <w:rStyle w:val="ala2"/>
          <w:rFonts w:ascii="Times New Roman" w:hAnsi="Times New Roman"/>
          <w:sz w:val="24"/>
          <w:szCs w:val="24"/>
          <w:specVanish w:val="0"/>
        </w:rPr>
        <w:t xml:space="preserve"> минимално и максимално допустимите стойности на количествените показатели, което е води до предлагане на </w:t>
      </w:r>
      <w:r w:rsidRPr="00BD21AD">
        <w:rPr>
          <w:rFonts w:ascii="Times New Roman" w:hAnsi="Times New Roman"/>
          <w:bCs/>
          <w:sz w:val="24"/>
          <w:szCs w:val="24"/>
        </w:rPr>
        <w:t>нереални/нереалистични стойности (например: нереално кратки срокове за изпълнение, нереалистични гаранционни срокове и др.)</w:t>
      </w:r>
      <w:r w:rsidRPr="00BD21AD">
        <w:rPr>
          <w:rStyle w:val="ala2"/>
          <w:rFonts w:ascii="Times New Roman" w:hAnsi="Times New Roman"/>
          <w:sz w:val="24"/>
          <w:szCs w:val="24"/>
          <w:specVanish w:val="0"/>
        </w:rPr>
        <w:t xml:space="preserve"> </w:t>
      </w:r>
    </w:p>
    <w:p w:rsidR="00B82B80" w:rsidRPr="00BD21AD" w:rsidRDefault="00B82B80" w:rsidP="00BD21AD">
      <w:pPr>
        <w:pStyle w:val="ListParagraph"/>
        <w:numPr>
          <w:ilvl w:val="0"/>
          <w:numId w:val="8"/>
        </w:numPr>
        <w:spacing w:after="0" w:line="276" w:lineRule="auto"/>
        <w:jc w:val="both"/>
        <w:rPr>
          <w:rFonts w:ascii="Times New Roman" w:hAnsi="Times New Roman"/>
          <w:bCs/>
          <w:sz w:val="24"/>
          <w:szCs w:val="24"/>
        </w:rPr>
      </w:pPr>
      <w:r w:rsidRPr="00BD21AD">
        <w:rPr>
          <w:rStyle w:val="ala2"/>
          <w:rFonts w:ascii="Times New Roman" w:hAnsi="Times New Roman"/>
          <w:sz w:val="24"/>
          <w:szCs w:val="24"/>
          <w:specVanish w:val="0"/>
        </w:rPr>
        <w:t xml:space="preserve">Методика за оценка </w:t>
      </w:r>
      <w:r w:rsidRPr="00BD21AD">
        <w:rPr>
          <w:rFonts w:ascii="Times New Roman" w:hAnsi="Times New Roman"/>
          <w:bCs/>
          <w:sz w:val="24"/>
          <w:szCs w:val="24"/>
        </w:rPr>
        <w:t xml:space="preserve">при които практически става невъзможно да се избере изпълнител, който предлага </w:t>
      </w:r>
      <w:r w:rsidRPr="00BD21AD">
        <w:rPr>
          <w:rFonts w:ascii="Times New Roman" w:hAnsi="Times New Roman"/>
          <w:sz w:val="24"/>
          <w:szCs w:val="24"/>
        </w:rPr>
        <w:t xml:space="preserve">оптимално съотношение качество/цена, тъй като при оценяването на офертите се използва на методика </w:t>
      </w:r>
      <w:r w:rsidRPr="00BD21AD">
        <w:rPr>
          <w:rStyle w:val="ala2"/>
          <w:rFonts w:ascii="Times New Roman" w:hAnsi="Times New Roman"/>
          <w:sz w:val="24"/>
          <w:szCs w:val="24"/>
          <w:specVanish w:val="0"/>
        </w:rPr>
        <w:t>за оценка</w:t>
      </w:r>
      <w:r w:rsidRPr="00BD21AD">
        <w:rPr>
          <w:rFonts w:ascii="Times New Roman" w:hAnsi="Times New Roman"/>
          <w:sz w:val="24"/>
          <w:szCs w:val="24"/>
        </w:rPr>
        <w:t xml:space="preserve"> с голям диапазон по отделните качествени показатели (напр.: стъпка 1: 1 точка, стъпка 2: 50 точки, стъпка 3: 100 точки);</w:t>
      </w:r>
    </w:p>
    <w:p w:rsidR="00B82B80" w:rsidRPr="00BD21AD" w:rsidRDefault="00B82B80" w:rsidP="00BD21AD">
      <w:pPr>
        <w:pStyle w:val="ListParagraph"/>
        <w:numPr>
          <w:ilvl w:val="0"/>
          <w:numId w:val="8"/>
        </w:numPr>
        <w:spacing w:after="0" w:line="276" w:lineRule="auto"/>
        <w:jc w:val="both"/>
        <w:rPr>
          <w:rStyle w:val="ala2"/>
          <w:rFonts w:ascii="Times New Roman" w:hAnsi="Times New Roman"/>
          <w:bCs/>
          <w:sz w:val="24"/>
          <w:szCs w:val="24"/>
        </w:rPr>
      </w:pPr>
      <w:r w:rsidRPr="00BD21AD">
        <w:rPr>
          <w:rStyle w:val="ala2"/>
          <w:rFonts w:ascii="Times New Roman" w:hAnsi="Times New Roman"/>
          <w:sz w:val="24"/>
          <w:szCs w:val="24"/>
          <w:specVanish w:val="0"/>
        </w:rPr>
        <w:t>Показателите, включени в критериите за възлагане на процедура за избор на изпълнител, не са свързани с предмета на поръчката;</w:t>
      </w:r>
    </w:p>
    <w:p w:rsidR="00B82B80" w:rsidRPr="00BD21AD" w:rsidRDefault="00B82B80" w:rsidP="00BD21AD">
      <w:pPr>
        <w:pStyle w:val="ListParagraph"/>
        <w:numPr>
          <w:ilvl w:val="0"/>
          <w:numId w:val="8"/>
        </w:numPr>
        <w:spacing w:after="0" w:line="276" w:lineRule="auto"/>
        <w:jc w:val="both"/>
        <w:rPr>
          <w:rFonts w:ascii="Times New Roman" w:hAnsi="Times New Roman"/>
          <w:bCs/>
          <w:sz w:val="24"/>
          <w:szCs w:val="24"/>
        </w:rPr>
      </w:pPr>
      <w:r w:rsidRPr="00BD21AD">
        <w:rPr>
          <w:rFonts w:ascii="Times New Roman" w:hAnsi="Times New Roman"/>
          <w:bCs/>
          <w:sz w:val="24"/>
          <w:szCs w:val="24"/>
        </w:rPr>
        <w:t>Включването на критерии за подбор като показатели за оценка на офертите;</w:t>
      </w:r>
    </w:p>
    <w:p w:rsidR="00B82B80" w:rsidRPr="00BD21AD" w:rsidRDefault="00B82B80" w:rsidP="00BD21AD">
      <w:pPr>
        <w:pStyle w:val="ListParagraph"/>
        <w:numPr>
          <w:ilvl w:val="0"/>
          <w:numId w:val="8"/>
        </w:numPr>
        <w:spacing w:after="0" w:line="276" w:lineRule="auto"/>
        <w:jc w:val="both"/>
        <w:rPr>
          <w:rFonts w:ascii="Times New Roman" w:hAnsi="Times New Roman"/>
          <w:bCs/>
          <w:sz w:val="24"/>
          <w:szCs w:val="24"/>
        </w:rPr>
      </w:pPr>
      <w:r w:rsidRPr="00BD21AD">
        <w:rPr>
          <w:rFonts w:ascii="Times New Roman" w:hAnsi="Times New Roman"/>
          <w:bCs/>
          <w:sz w:val="24"/>
          <w:szCs w:val="24"/>
        </w:rPr>
        <w:t>Залагането на формули, при които най-много точки се присъждат на средни стойности;</w:t>
      </w:r>
    </w:p>
    <w:p w:rsidR="00B82B80" w:rsidRPr="00BD21AD" w:rsidRDefault="00B82B80" w:rsidP="00BD21AD">
      <w:pPr>
        <w:pStyle w:val="ListParagraph"/>
        <w:numPr>
          <w:ilvl w:val="0"/>
          <w:numId w:val="8"/>
        </w:numPr>
        <w:spacing w:after="0" w:line="276" w:lineRule="auto"/>
        <w:jc w:val="both"/>
        <w:rPr>
          <w:rFonts w:ascii="Times New Roman" w:hAnsi="Times New Roman"/>
          <w:bCs/>
          <w:sz w:val="24"/>
          <w:szCs w:val="24"/>
        </w:rPr>
      </w:pPr>
      <w:r w:rsidRPr="00BD21AD">
        <w:rPr>
          <w:rFonts w:ascii="Times New Roman" w:hAnsi="Times New Roman"/>
          <w:bCs/>
          <w:sz w:val="24"/>
          <w:szCs w:val="24"/>
        </w:rPr>
        <w:t>Оценяване на предложения / оферти, които не отговарят на изискванията на бенефициента;</w:t>
      </w:r>
    </w:p>
    <w:p w:rsidR="00B82B80" w:rsidRPr="00BD21AD" w:rsidRDefault="00B82B80" w:rsidP="00BD21AD">
      <w:pPr>
        <w:pStyle w:val="ListParagraph"/>
        <w:numPr>
          <w:ilvl w:val="0"/>
          <w:numId w:val="8"/>
        </w:numPr>
        <w:spacing w:after="0" w:line="276" w:lineRule="auto"/>
        <w:jc w:val="both"/>
        <w:rPr>
          <w:rFonts w:ascii="Times New Roman" w:hAnsi="Times New Roman"/>
          <w:bCs/>
          <w:sz w:val="24"/>
          <w:szCs w:val="24"/>
        </w:rPr>
      </w:pPr>
      <w:r w:rsidRPr="00BD21AD">
        <w:rPr>
          <w:rFonts w:ascii="Times New Roman" w:hAnsi="Times New Roman"/>
          <w:bCs/>
          <w:sz w:val="24"/>
          <w:szCs w:val="24"/>
        </w:rPr>
        <w:t>Включването на показатели за оценка, които отчитат времето за извършване на плащанията (отложено или разсрочено плащане) или оценяване на размера или отказа от авансово плащане, когато се предвижда предоставяне на аванс;</w:t>
      </w:r>
    </w:p>
    <w:p w:rsidR="00B82B80" w:rsidRPr="00BD21AD" w:rsidRDefault="00B82B80" w:rsidP="00BD21AD">
      <w:pPr>
        <w:pStyle w:val="ListParagraph"/>
        <w:numPr>
          <w:ilvl w:val="0"/>
          <w:numId w:val="8"/>
        </w:numPr>
        <w:spacing w:after="0" w:line="276" w:lineRule="auto"/>
        <w:jc w:val="both"/>
        <w:rPr>
          <w:rFonts w:ascii="Times New Roman" w:hAnsi="Times New Roman"/>
          <w:bCs/>
          <w:sz w:val="24"/>
          <w:szCs w:val="24"/>
        </w:rPr>
      </w:pPr>
      <w:r w:rsidRPr="00BD21AD">
        <w:rPr>
          <w:rFonts w:ascii="Times New Roman" w:hAnsi="Times New Roman"/>
          <w:sz w:val="24"/>
          <w:szCs w:val="24"/>
        </w:rPr>
        <w:t>Използването на пълнотата и начинът на представяне на информацията в изисканите от възложителя документи (планове, графици, организация на изпълнение) и др.</w:t>
      </w:r>
    </w:p>
    <w:p w:rsidR="001E7933" w:rsidRPr="00BD21AD" w:rsidRDefault="001E7933" w:rsidP="00BD21AD">
      <w:pPr>
        <w:pStyle w:val="BodyText"/>
        <w:tabs>
          <w:tab w:val="center" w:pos="993"/>
        </w:tabs>
        <w:spacing w:line="276" w:lineRule="auto"/>
        <w:rPr>
          <w:rFonts w:cs="Times New Roman"/>
          <w:szCs w:val="24"/>
          <w:lang w:val="bg-BG"/>
        </w:rPr>
      </w:pPr>
    </w:p>
    <w:p w:rsidR="006F2F0D" w:rsidRPr="00BD21AD" w:rsidRDefault="006F2F0D" w:rsidP="00BD21AD">
      <w:pPr>
        <w:pStyle w:val="BodyText"/>
        <w:tabs>
          <w:tab w:val="center" w:pos="993"/>
        </w:tabs>
        <w:spacing w:line="276" w:lineRule="auto"/>
        <w:rPr>
          <w:rFonts w:cs="Times New Roman"/>
          <w:szCs w:val="24"/>
          <w:lang w:val="bg-BG"/>
        </w:rPr>
      </w:pPr>
    </w:p>
    <w:p w:rsidR="006F2F0D" w:rsidRPr="00BD21AD" w:rsidRDefault="006F2F0D" w:rsidP="00BD21AD">
      <w:pPr>
        <w:pStyle w:val="BodyText"/>
        <w:tabs>
          <w:tab w:val="center" w:pos="993"/>
        </w:tabs>
        <w:spacing w:line="276" w:lineRule="auto"/>
        <w:rPr>
          <w:rFonts w:cs="Times New Roman"/>
          <w:b/>
          <w:szCs w:val="24"/>
          <w:u w:val="single"/>
          <w:lang w:val="bg-BG"/>
        </w:rPr>
      </w:pPr>
      <w:r w:rsidRPr="00BD21AD">
        <w:rPr>
          <w:rFonts w:cs="Times New Roman"/>
          <w:b/>
          <w:szCs w:val="24"/>
          <w:highlight w:val="yellow"/>
          <w:u w:val="single"/>
          <w:lang w:val="bg-BG"/>
        </w:rPr>
        <w:t>II. Въпроси относно ангажименти в периода на мониторинг</w:t>
      </w:r>
    </w:p>
    <w:p w:rsidR="006F2F0D" w:rsidRPr="00BD21AD" w:rsidRDefault="006F2F0D" w:rsidP="00BD21AD">
      <w:pPr>
        <w:pStyle w:val="BodyText"/>
        <w:tabs>
          <w:tab w:val="center" w:pos="993"/>
        </w:tabs>
        <w:spacing w:line="276" w:lineRule="auto"/>
        <w:rPr>
          <w:rFonts w:cs="Times New Roman"/>
          <w:b/>
          <w:szCs w:val="24"/>
          <w:u w:val="single"/>
          <w:lang w:val="bg-BG"/>
        </w:rPr>
      </w:pPr>
    </w:p>
    <w:p w:rsidR="00FF0F1D" w:rsidRPr="00BD21AD" w:rsidRDefault="00FF0F1D" w:rsidP="00BD21AD">
      <w:pPr>
        <w:pStyle w:val="BodyText"/>
        <w:tabs>
          <w:tab w:val="center" w:pos="993"/>
        </w:tabs>
        <w:spacing w:line="276" w:lineRule="auto"/>
        <w:rPr>
          <w:rFonts w:cs="Times New Roman"/>
          <w:b/>
          <w:szCs w:val="24"/>
          <w:lang w:val="bg-BG"/>
        </w:rPr>
      </w:pPr>
      <w:r w:rsidRPr="00BD21AD">
        <w:rPr>
          <w:rFonts w:cs="Times New Roman"/>
          <w:b/>
          <w:szCs w:val="24"/>
          <w:lang w:val="bg-BG"/>
        </w:rPr>
        <w:t>1. Въпрос, свързан с производствената програма:</w:t>
      </w:r>
    </w:p>
    <w:p w:rsidR="00FF0F1D" w:rsidRPr="00BD21AD" w:rsidRDefault="00FF0F1D" w:rsidP="00BD21AD">
      <w:pPr>
        <w:pStyle w:val="BodyText"/>
        <w:tabs>
          <w:tab w:val="center" w:pos="993"/>
        </w:tabs>
        <w:spacing w:line="276" w:lineRule="auto"/>
        <w:rPr>
          <w:rFonts w:cs="Times New Roman"/>
          <w:b/>
          <w:szCs w:val="24"/>
          <w:lang w:val="bg-BG"/>
        </w:rPr>
      </w:pPr>
      <w:r w:rsidRPr="00BD21AD">
        <w:rPr>
          <w:rFonts w:cs="Times New Roman"/>
          <w:b/>
          <w:szCs w:val="24"/>
          <w:lang w:val="bg-BG"/>
        </w:rPr>
        <w:t xml:space="preserve">1.1. Кои показатели от Производствената и търговска програма ще се проследяват в периода на мониторинг – само приходите или и количеството произведена продукция? </w:t>
      </w:r>
    </w:p>
    <w:p w:rsidR="000B18CF" w:rsidRPr="00BD21AD" w:rsidRDefault="000B18CF" w:rsidP="00BD21AD">
      <w:pPr>
        <w:spacing w:after="0" w:line="276" w:lineRule="auto"/>
        <w:jc w:val="both"/>
        <w:rPr>
          <w:rFonts w:ascii="Times New Roman" w:hAnsi="Times New Roman" w:cs="Times New Roman"/>
          <w:sz w:val="24"/>
          <w:szCs w:val="24"/>
        </w:rPr>
      </w:pPr>
    </w:p>
    <w:p w:rsidR="00FF0F1D" w:rsidRPr="00BD21AD" w:rsidRDefault="00FF0F1D" w:rsidP="00BD21AD">
      <w:pPr>
        <w:spacing w:after="0" w:line="276" w:lineRule="auto"/>
        <w:jc w:val="both"/>
        <w:rPr>
          <w:rFonts w:ascii="Times New Roman" w:hAnsi="Times New Roman" w:cs="Times New Roman"/>
          <w:sz w:val="24"/>
          <w:szCs w:val="24"/>
        </w:rPr>
      </w:pPr>
      <w:r w:rsidRPr="00BD21AD">
        <w:rPr>
          <w:rFonts w:ascii="Times New Roman" w:hAnsi="Times New Roman" w:cs="Times New Roman"/>
          <w:sz w:val="24"/>
          <w:szCs w:val="24"/>
        </w:rPr>
        <w:t>В сключените договори за финансово подпомагане по подмярка 19.2 е залегнал следния текст: Когато за период от всеки 12 месеца, считано от датата на получаване на окончателно плащане до изтичане на срока по чл. 6, ал. 4 от договора, неизпълнението на задължението на бенефициента по отношение задълженията, включени в Приложение № 2 съгласно одобрената производствена и търговска програма (ако има такава) е по-голямо от 50 на сто от тях, ФОНДЪТ претендира възстановяване на изплатената финансова помощ по този договор.</w:t>
      </w:r>
    </w:p>
    <w:p w:rsidR="00FF0F1D" w:rsidRPr="00BD21AD" w:rsidRDefault="00FF0F1D" w:rsidP="00BD21AD">
      <w:pPr>
        <w:spacing w:after="0" w:line="276" w:lineRule="auto"/>
        <w:jc w:val="both"/>
        <w:rPr>
          <w:rFonts w:ascii="Times New Roman" w:hAnsi="Times New Roman" w:cs="Times New Roman"/>
          <w:sz w:val="24"/>
          <w:szCs w:val="24"/>
        </w:rPr>
      </w:pPr>
      <w:r w:rsidRPr="00BD21AD">
        <w:rPr>
          <w:rFonts w:ascii="Times New Roman" w:hAnsi="Times New Roman" w:cs="Times New Roman"/>
          <w:sz w:val="24"/>
          <w:szCs w:val="24"/>
        </w:rPr>
        <w:t>От това следва, че ако в производствената програма в Приложение № 2 от договора са залегнали приходи и количества, то и двата показателя ще се проследяват в периода на мониторинг.</w:t>
      </w:r>
    </w:p>
    <w:p w:rsidR="00FF0F1D" w:rsidRPr="00BD21AD" w:rsidRDefault="00FF0F1D" w:rsidP="00BD21AD">
      <w:pPr>
        <w:spacing w:line="276" w:lineRule="auto"/>
        <w:jc w:val="both"/>
        <w:rPr>
          <w:rFonts w:ascii="Times New Roman" w:hAnsi="Times New Roman" w:cs="Times New Roman"/>
          <w:sz w:val="24"/>
          <w:szCs w:val="24"/>
        </w:rPr>
      </w:pPr>
      <w:r w:rsidRPr="00BD21AD">
        <w:rPr>
          <w:rFonts w:ascii="Times New Roman" w:hAnsi="Times New Roman" w:cs="Times New Roman"/>
          <w:sz w:val="24"/>
          <w:szCs w:val="24"/>
        </w:rPr>
        <w:lastRenderedPageBreak/>
        <w:t>Стандартно в Приложение 2 към договорите по подмярка 19.2 се прилага таблицата с  производствената и търговска програма от одобрения бизнес план по проекта, което още веднъж потвърждава, че следва да се проследяват приходи и количества.</w:t>
      </w:r>
    </w:p>
    <w:p w:rsidR="00FF0F1D" w:rsidRPr="00BD21AD" w:rsidRDefault="00FF0F1D" w:rsidP="00BD21AD">
      <w:pPr>
        <w:pStyle w:val="BodyText"/>
        <w:tabs>
          <w:tab w:val="center" w:pos="993"/>
        </w:tabs>
        <w:spacing w:line="276" w:lineRule="auto"/>
        <w:rPr>
          <w:rFonts w:cs="Times New Roman"/>
          <w:szCs w:val="24"/>
          <w:lang w:val="bg-BG"/>
        </w:rPr>
      </w:pPr>
    </w:p>
    <w:p w:rsidR="00FF0F1D" w:rsidRPr="00BD21AD" w:rsidRDefault="00FF0F1D" w:rsidP="00BD21AD">
      <w:pPr>
        <w:pStyle w:val="BodyText"/>
        <w:tabs>
          <w:tab w:val="center" w:pos="993"/>
        </w:tabs>
        <w:spacing w:line="276" w:lineRule="auto"/>
        <w:rPr>
          <w:rFonts w:cs="Times New Roman"/>
          <w:b/>
          <w:szCs w:val="24"/>
          <w:lang w:val="bg-BG"/>
        </w:rPr>
      </w:pPr>
      <w:r w:rsidRPr="00BD21AD">
        <w:rPr>
          <w:rFonts w:cs="Times New Roman"/>
          <w:b/>
          <w:szCs w:val="24"/>
          <w:lang w:val="bg-BG"/>
        </w:rPr>
        <w:t xml:space="preserve">1.2. В договора за БФП, образец за МИГ е заложено, че цялата получена помощ подлежи на връщане ако не са изпълнени мин. 50% от показателите в производствената програма. Това означава ли, че ако са изпълнени миниум 50% от приходите, дори да не са изпълнени 100% от тях бенефициентите не подлежат на други санкции и не следва да възстановяват средства? </w:t>
      </w:r>
    </w:p>
    <w:p w:rsidR="00FF0F1D" w:rsidRPr="00BD21AD" w:rsidRDefault="00FF0F1D" w:rsidP="00BD21AD">
      <w:pPr>
        <w:pStyle w:val="BodyText"/>
        <w:tabs>
          <w:tab w:val="center" w:pos="993"/>
        </w:tabs>
        <w:spacing w:line="276" w:lineRule="auto"/>
        <w:rPr>
          <w:rFonts w:cs="Times New Roman"/>
          <w:b/>
          <w:szCs w:val="24"/>
          <w:lang w:val="bg-BG"/>
        </w:rPr>
      </w:pPr>
    </w:p>
    <w:p w:rsidR="00FF0F1D" w:rsidRPr="00BD21AD" w:rsidRDefault="00FF0F1D" w:rsidP="00BD21AD">
      <w:pPr>
        <w:spacing w:line="276" w:lineRule="auto"/>
        <w:jc w:val="both"/>
        <w:rPr>
          <w:rFonts w:ascii="Times New Roman" w:eastAsia="Times New Roman" w:hAnsi="Times New Roman" w:cs="Times New Roman"/>
          <w:noProof w:val="0"/>
          <w:sz w:val="24"/>
          <w:szCs w:val="24"/>
          <w:lang w:eastAsia="ar-SA"/>
        </w:rPr>
      </w:pPr>
      <w:r w:rsidRPr="00BD21AD">
        <w:rPr>
          <w:rFonts w:ascii="Times New Roman" w:eastAsia="Times New Roman" w:hAnsi="Times New Roman" w:cs="Times New Roman"/>
          <w:noProof w:val="0"/>
          <w:sz w:val="24"/>
          <w:szCs w:val="24"/>
          <w:lang w:eastAsia="ar-SA"/>
        </w:rPr>
        <w:t>Санкции не се прилагат, когато изпълнение на показателите е равно или по – голямо от 50%. Независимо от постигане на заложеното минимално изискване за показателите в бизнес плана, задължението ще се смята за изпълнено, само ако въз основа на така постигнатите показатели не се нарушават други разпоредби и изисквания за допустимост, заложени в договора/насоките за кандидатстване по съответния прием, напр. средногодишна натовареност /капацитет на техниката/използване на собствени суровини/ количества био продукция и т.н.</w:t>
      </w:r>
    </w:p>
    <w:p w:rsidR="00FF0F1D" w:rsidRPr="00BD21AD" w:rsidRDefault="00FF0F1D" w:rsidP="00BD21AD">
      <w:pPr>
        <w:pStyle w:val="BodyText"/>
        <w:tabs>
          <w:tab w:val="center" w:pos="993"/>
        </w:tabs>
        <w:spacing w:line="276" w:lineRule="auto"/>
        <w:rPr>
          <w:rFonts w:cs="Times New Roman"/>
          <w:szCs w:val="24"/>
          <w:lang w:val="bg-BG"/>
        </w:rPr>
      </w:pPr>
    </w:p>
    <w:p w:rsidR="00FF0F1D" w:rsidRPr="00BD21AD" w:rsidRDefault="00FF0F1D" w:rsidP="00BD21AD">
      <w:pPr>
        <w:pStyle w:val="BodyText"/>
        <w:tabs>
          <w:tab w:val="center" w:pos="993"/>
        </w:tabs>
        <w:spacing w:line="276" w:lineRule="auto"/>
        <w:rPr>
          <w:rFonts w:cs="Times New Roman"/>
          <w:b/>
          <w:szCs w:val="24"/>
          <w:lang w:val="bg-BG"/>
        </w:rPr>
      </w:pPr>
      <w:r w:rsidRPr="00BD21AD">
        <w:rPr>
          <w:rFonts w:cs="Times New Roman"/>
          <w:szCs w:val="24"/>
          <w:lang w:val="bg-BG"/>
        </w:rPr>
        <w:t>2</w:t>
      </w:r>
      <w:r w:rsidRPr="00BD21AD">
        <w:rPr>
          <w:rFonts w:cs="Times New Roman"/>
          <w:b/>
          <w:szCs w:val="24"/>
          <w:lang w:val="bg-BG"/>
        </w:rPr>
        <w:t xml:space="preserve">. Как ще се проследява изискването за поддържане на </w:t>
      </w:r>
      <w:proofErr w:type="spellStart"/>
      <w:r w:rsidRPr="00BD21AD">
        <w:rPr>
          <w:rFonts w:cs="Times New Roman"/>
          <w:b/>
          <w:szCs w:val="24"/>
          <w:lang w:val="bg-BG"/>
        </w:rPr>
        <w:t>средносписъчен</w:t>
      </w:r>
      <w:proofErr w:type="spellEnd"/>
      <w:r w:rsidRPr="00BD21AD">
        <w:rPr>
          <w:rFonts w:cs="Times New Roman"/>
          <w:b/>
          <w:szCs w:val="24"/>
          <w:lang w:val="bg-BG"/>
        </w:rPr>
        <w:t xml:space="preserve"> брой на персонала за 3 години – за календарна година или за 36 последователни месеца от получаване на окончателно плащане? С какви документи ще се доказва, доколкото проектът може да е получи плащане в средата или края на годината и би следвало изискването за новоназначени лица или другите показатели като приходи да се проверява само за месеците след получаване на плащането,  а не като среден за цялата година, в която е получено плащането. </w:t>
      </w:r>
    </w:p>
    <w:p w:rsidR="00FF0F1D" w:rsidRPr="00BD21AD" w:rsidRDefault="00FF0F1D" w:rsidP="00BD21AD">
      <w:pPr>
        <w:pStyle w:val="BodyText"/>
        <w:tabs>
          <w:tab w:val="center" w:pos="993"/>
        </w:tabs>
        <w:spacing w:line="276" w:lineRule="auto"/>
        <w:rPr>
          <w:rFonts w:cs="Times New Roman"/>
          <w:szCs w:val="24"/>
          <w:lang w:val="bg-BG"/>
        </w:rPr>
      </w:pPr>
    </w:p>
    <w:p w:rsidR="00FF0F1D" w:rsidRPr="00BD21AD" w:rsidRDefault="00FF0F1D" w:rsidP="00BD21AD">
      <w:pPr>
        <w:pStyle w:val="BodyText"/>
        <w:tabs>
          <w:tab w:val="center" w:pos="993"/>
        </w:tabs>
        <w:spacing w:line="276" w:lineRule="auto"/>
        <w:rPr>
          <w:rFonts w:cs="Times New Roman"/>
          <w:szCs w:val="24"/>
          <w:lang w:val="bg-BG"/>
        </w:rPr>
      </w:pPr>
      <w:r w:rsidRPr="00BD21AD">
        <w:rPr>
          <w:rFonts w:cs="Times New Roman"/>
          <w:szCs w:val="24"/>
          <w:lang w:val="bg-BG"/>
        </w:rPr>
        <w:t xml:space="preserve">Съгласно т. 11 от раздел „Документи за съответствие с критериите за подбор, за които е получено предимство пред други кандидати“ от Приложение № 8 „Документи към искане за междинно/окончателно плащане по </w:t>
      </w:r>
      <w:proofErr w:type="spellStart"/>
      <w:r w:rsidRPr="00BD21AD">
        <w:rPr>
          <w:rFonts w:cs="Times New Roman"/>
          <w:szCs w:val="24"/>
          <w:lang w:val="bg-BG"/>
        </w:rPr>
        <w:t>подмярка</w:t>
      </w:r>
      <w:proofErr w:type="spellEnd"/>
      <w:r w:rsidRPr="00BD21AD">
        <w:rPr>
          <w:rFonts w:cs="Times New Roman"/>
          <w:szCs w:val="24"/>
          <w:lang w:val="bg-BG"/>
        </w:rPr>
        <w:t xml:space="preserve"> 19.2“ към сключените договори, е посочена за представяне „Справка за </w:t>
      </w:r>
      <w:proofErr w:type="spellStart"/>
      <w:r w:rsidRPr="00BD21AD">
        <w:rPr>
          <w:rFonts w:cs="Times New Roman"/>
          <w:szCs w:val="24"/>
          <w:lang w:val="bg-BG"/>
        </w:rPr>
        <w:t>средносписъчен</w:t>
      </w:r>
      <w:proofErr w:type="spellEnd"/>
      <w:r w:rsidRPr="00BD21AD">
        <w:rPr>
          <w:rFonts w:cs="Times New Roman"/>
          <w:szCs w:val="24"/>
          <w:lang w:val="bg-BG"/>
        </w:rPr>
        <w:t xml:space="preserve"> брой на персонала към последен приключен междинен период преди датата на подаване на заявката за плащане, изчислен по Методиката за изчисляване на списъчния и средния списъчен брой на персонала, публикувана на сайта на НСИ, заверена от бенефициента, от която да е видно изпълнение на критерия за подбор, касаещ поддържане на броя на назначените лица към датата на кандидатстване и увеличение на броя на персонала към датата на подаване на искане за плащане“. </w:t>
      </w:r>
    </w:p>
    <w:p w:rsidR="00FF0F1D" w:rsidRPr="00BD21AD" w:rsidRDefault="00FF0F1D" w:rsidP="00BD21AD">
      <w:pPr>
        <w:pStyle w:val="BodyText"/>
        <w:tabs>
          <w:tab w:val="center" w:pos="993"/>
        </w:tabs>
        <w:spacing w:line="276" w:lineRule="auto"/>
        <w:rPr>
          <w:rFonts w:cs="Times New Roman"/>
          <w:szCs w:val="24"/>
          <w:lang w:val="bg-BG"/>
        </w:rPr>
      </w:pPr>
      <w:r w:rsidRPr="00BD21AD">
        <w:rPr>
          <w:rFonts w:cs="Times New Roman"/>
          <w:szCs w:val="24"/>
          <w:lang w:val="bg-BG"/>
        </w:rPr>
        <w:t xml:space="preserve">Проследяване на </w:t>
      </w:r>
      <w:proofErr w:type="spellStart"/>
      <w:r w:rsidRPr="00BD21AD">
        <w:rPr>
          <w:rFonts w:cs="Times New Roman"/>
          <w:szCs w:val="24"/>
          <w:lang w:val="bg-BG"/>
        </w:rPr>
        <w:t>средносписъчен</w:t>
      </w:r>
      <w:proofErr w:type="spellEnd"/>
      <w:r w:rsidRPr="00BD21AD">
        <w:rPr>
          <w:rFonts w:cs="Times New Roman"/>
          <w:szCs w:val="24"/>
          <w:lang w:val="bg-BG"/>
        </w:rPr>
        <w:t xml:space="preserve"> брой на персонала в периода на мониторинг се извършва съгласно указанията дадени в Методиката за изчисляване на списъчния и средния списъчен брой на персонала, публикувана на сайта на НСИ. </w:t>
      </w:r>
    </w:p>
    <w:p w:rsidR="00FF0F1D" w:rsidRPr="00BD21AD" w:rsidRDefault="00FF0F1D" w:rsidP="00BD21AD">
      <w:pPr>
        <w:pStyle w:val="BodyText"/>
        <w:tabs>
          <w:tab w:val="center" w:pos="993"/>
        </w:tabs>
        <w:spacing w:line="276" w:lineRule="auto"/>
        <w:rPr>
          <w:rFonts w:cs="Times New Roman"/>
          <w:szCs w:val="24"/>
          <w:lang w:val="bg-BG"/>
        </w:rPr>
      </w:pPr>
      <w:r w:rsidRPr="00BD21AD">
        <w:rPr>
          <w:rFonts w:cs="Times New Roman"/>
          <w:szCs w:val="24"/>
          <w:lang w:val="bg-BG"/>
        </w:rPr>
        <w:t>Допълнителни административни проверки за спазване на критерия за подбор се извършват и служебно в регистрите на НАП.</w:t>
      </w:r>
    </w:p>
    <w:p w:rsidR="00FF0F1D" w:rsidRPr="00BD21AD" w:rsidRDefault="00FF0F1D" w:rsidP="00BD21AD">
      <w:pPr>
        <w:pStyle w:val="BodyText"/>
        <w:tabs>
          <w:tab w:val="center" w:pos="993"/>
        </w:tabs>
        <w:spacing w:line="276" w:lineRule="auto"/>
        <w:rPr>
          <w:rFonts w:cs="Times New Roman"/>
          <w:color w:val="FF0000"/>
          <w:szCs w:val="24"/>
          <w:lang w:val="bg-BG"/>
        </w:rPr>
      </w:pPr>
    </w:p>
    <w:p w:rsidR="00FF0F1D" w:rsidRPr="00BD21AD" w:rsidRDefault="00FF0F1D" w:rsidP="00BD21AD">
      <w:pPr>
        <w:pStyle w:val="BodyText"/>
        <w:tabs>
          <w:tab w:val="center" w:pos="993"/>
        </w:tabs>
        <w:spacing w:line="276" w:lineRule="auto"/>
        <w:rPr>
          <w:rFonts w:cs="Times New Roman"/>
          <w:b/>
          <w:szCs w:val="24"/>
          <w:lang w:val="bg-BG"/>
        </w:rPr>
      </w:pPr>
      <w:r w:rsidRPr="00BD21AD">
        <w:rPr>
          <w:rFonts w:cs="Times New Roman"/>
          <w:b/>
          <w:szCs w:val="24"/>
          <w:lang w:val="bg-BG"/>
        </w:rPr>
        <w:t xml:space="preserve">3. Подлежи ли на задължителна застраховка за периода на мониторинг софтуерът?  В приложението „Застрахователни рискове по видове застраховки в зависимост от инвестициите, обект на подпомагане“ за задължително застраховане са описани различни видове инвестиции в т.ч. „машини, съоръжения, оборудване, обзавеждане“. Бихте ли потвърдили че, софтуерът не попада под никое от тези определения, защото е нематериален актив и описаните застрахователни събития са неприложими за него? </w:t>
      </w:r>
    </w:p>
    <w:p w:rsidR="00FF0F1D" w:rsidRPr="00BD21AD" w:rsidRDefault="00FF0F1D" w:rsidP="00BD21AD">
      <w:pPr>
        <w:pStyle w:val="BodyText"/>
        <w:tabs>
          <w:tab w:val="center" w:pos="993"/>
        </w:tabs>
        <w:spacing w:line="276" w:lineRule="auto"/>
        <w:rPr>
          <w:rFonts w:cs="Times New Roman"/>
          <w:szCs w:val="24"/>
          <w:lang w:val="bg-BG"/>
        </w:rPr>
      </w:pPr>
    </w:p>
    <w:p w:rsidR="00FF0F1D" w:rsidRPr="00BD21AD" w:rsidRDefault="00FF0F1D" w:rsidP="00BD21AD">
      <w:pPr>
        <w:pStyle w:val="BodyText"/>
        <w:tabs>
          <w:tab w:val="center" w:pos="993"/>
        </w:tabs>
        <w:spacing w:line="276" w:lineRule="auto"/>
        <w:rPr>
          <w:rFonts w:asciiTheme="minorHAnsi" w:hAnsiTheme="minorHAnsi" w:cs="Times New Roman"/>
          <w:szCs w:val="24"/>
          <w:lang w:val="bg-BG" w:eastAsia="bg-BG"/>
        </w:rPr>
      </w:pPr>
      <w:r w:rsidRPr="00BD21AD">
        <w:rPr>
          <w:rFonts w:cs="Times New Roman"/>
          <w:szCs w:val="24"/>
          <w:lang w:val="bg-BG"/>
        </w:rPr>
        <w:t xml:space="preserve">Съгласно клаузите на сключените договори за финансово подпомагане по </w:t>
      </w:r>
      <w:proofErr w:type="spellStart"/>
      <w:r w:rsidRPr="00BD21AD">
        <w:rPr>
          <w:rFonts w:cs="Times New Roman"/>
          <w:szCs w:val="24"/>
          <w:lang w:val="bg-BG"/>
        </w:rPr>
        <w:t>подмярка</w:t>
      </w:r>
      <w:proofErr w:type="spellEnd"/>
      <w:r w:rsidRPr="00BD21AD">
        <w:rPr>
          <w:rFonts w:cs="Times New Roman"/>
          <w:szCs w:val="24"/>
          <w:lang w:val="bg-BG"/>
        </w:rPr>
        <w:t xml:space="preserve"> 19.2, бенефициентът е длъжен да сключи и поддържа валидна застраховка на активите, предмет на подпомагане  (вкл. по отношение на разходите за създаване на трайни насаждения), на неговата действителна стойност за срок от датата на подаване на заявка за плащане до изтичане на срока на мониторинг без право на </w:t>
      </w:r>
      <w:proofErr w:type="spellStart"/>
      <w:r w:rsidRPr="00BD21AD">
        <w:rPr>
          <w:rFonts w:cs="Times New Roman"/>
          <w:szCs w:val="24"/>
          <w:lang w:val="bg-BG"/>
        </w:rPr>
        <w:t>подзастраховане</w:t>
      </w:r>
      <w:proofErr w:type="spellEnd"/>
      <w:r w:rsidRPr="00BD21AD">
        <w:rPr>
          <w:rFonts w:cs="Times New Roman"/>
          <w:szCs w:val="24"/>
          <w:lang w:val="bg-BG"/>
        </w:rPr>
        <w:t>. Под определението „активи“ следва да се разбира „дълготрайни материални активи“ и „дълготрайни нематериални активи“ по смисъла на чл. 50 и чл. 51 от ЗКПО. В този смисъл всички активи, които попадат в тези определения, следва да бъдат застраховани. Софтуерът е инвестиция в програмен продукт, който е дълготраен нематериален актив</w:t>
      </w:r>
      <w:r w:rsidRPr="00BD21AD">
        <w:rPr>
          <w:rFonts w:cs="Times New Roman"/>
          <w:szCs w:val="24"/>
        </w:rPr>
        <w:t>,</w:t>
      </w:r>
      <w:r w:rsidRPr="00BD21AD">
        <w:rPr>
          <w:rFonts w:cs="Times New Roman"/>
          <w:szCs w:val="24"/>
          <w:lang w:val="bg-BG"/>
        </w:rPr>
        <w:t xml:space="preserve"> може да се причисли към категория „оборудване“ и следва да се застрахова за рисковете, посочени в раздел „Машини, съоръжения и оборудване“. </w:t>
      </w:r>
    </w:p>
    <w:p w:rsidR="00FF0F1D" w:rsidRPr="00BD21AD" w:rsidRDefault="00FF0F1D" w:rsidP="00BD21AD">
      <w:pPr>
        <w:pStyle w:val="BodyText"/>
        <w:tabs>
          <w:tab w:val="center" w:pos="993"/>
        </w:tabs>
        <w:spacing w:line="276" w:lineRule="auto"/>
        <w:rPr>
          <w:rFonts w:asciiTheme="minorHAnsi" w:hAnsiTheme="minorHAnsi" w:cs="Times New Roman"/>
          <w:b/>
          <w:color w:val="222222"/>
          <w:szCs w:val="24"/>
          <w:lang w:val="bg-BG" w:eastAsia="bg-BG"/>
        </w:rPr>
      </w:pPr>
    </w:p>
    <w:p w:rsidR="00FF0F1D" w:rsidRPr="00BD21AD" w:rsidRDefault="00FF0F1D" w:rsidP="00BD21AD">
      <w:pPr>
        <w:pStyle w:val="BodyText"/>
        <w:tabs>
          <w:tab w:val="center" w:pos="993"/>
        </w:tabs>
        <w:spacing w:line="276" w:lineRule="auto"/>
        <w:rPr>
          <w:rFonts w:cs="Times New Roman"/>
          <w:b/>
          <w:szCs w:val="24"/>
        </w:rPr>
      </w:pPr>
      <w:r w:rsidRPr="00BD21AD">
        <w:rPr>
          <w:rFonts w:cs="Times New Roman"/>
          <w:b/>
          <w:szCs w:val="24"/>
          <w:lang w:val="bg-BG"/>
        </w:rPr>
        <w:t>4.  Следва ли да се спазват критериите за оценка през периода на мониторинг</w:t>
      </w:r>
      <w:r w:rsidRPr="00BD21AD">
        <w:rPr>
          <w:rFonts w:cs="Times New Roman"/>
          <w:b/>
          <w:szCs w:val="24"/>
        </w:rPr>
        <w:t>?</w:t>
      </w:r>
    </w:p>
    <w:p w:rsidR="00FF0F1D" w:rsidRPr="00BD21AD" w:rsidRDefault="00FF0F1D" w:rsidP="00BD21AD">
      <w:pPr>
        <w:pStyle w:val="BodyText"/>
        <w:tabs>
          <w:tab w:val="center" w:pos="993"/>
        </w:tabs>
        <w:spacing w:line="276" w:lineRule="auto"/>
        <w:rPr>
          <w:rFonts w:cs="Times New Roman"/>
          <w:szCs w:val="24"/>
          <w:lang w:val="bg-BG"/>
        </w:rPr>
      </w:pPr>
    </w:p>
    <w:p w:rsidR="00FF0F1D" w:rsidRPr="00BD21AD" w:rsidRDefault="00FF0F1D" w:rsidP="00BD21AD">
      <w:pPr>
        <w:pStyle w:val="BodyText"/>
        <w:tabs>
          <w:tab w:val="center" w:pos="993"/>
        </w:tabs>
        <w:spacing w:line="276" w:lineRule="auto"/>
        <w:rPr>
          <w:rFonts w:cs="Times New Roman"/>
          <w:szCs w:val="24"/>
          <w:lang w:val="bg-BG"/>
        </w:rPr>
      </w:pPr>
      <w:r w:rsidRPr="00BD21AD">
        <w:rPr>
          <w:rFonts w:cs="Times New Roman"/>
          <w:szCs w:val="24"/>
          <w:lang w:val="bg-BG"/>
        </w:rPr>
        <w:t xml:space="preserve">Критериите за допустимост, критериите за подбор, както и всички други ангажименти, поети в административния договор </w:t>
      </w:r>
      <w:r w:rsidRPr="00BD21AD">
        <w:rPr>
          <w:rFonts w:cs="Times New Roman"/>
          <w:szCs w:val="24"/>
        </w:rPr>
        <w:t>(</w:t>
      </w:r>
      <w:r w:rsidRPr="00BD21AD">
        <w:rPr>
          <w:rFonts w:cs="Times New Roman"/>
          <w:szCs w:val="24"/>
          <w:lang w:val="bg-BG"/>
        </w:rPr>
        <w:t>напр. поддържане на минимален размер земя, бр. животни, био производство, приходи, количества продукция и т.н.</w:t>
      </w:r>
      <w:r w:rsidRPr="00BD21AD">
        <w:rPr>
          <w:rFonts w:cs="Times New Roman"/>
          <w:szCs w:val="24"/>
        </w:rPr>
        <w:t>)</w:t>
      </w:r>
      <w:r w:rsidRPr="00BD21AD">
        <w:rPr>
          <w:rFonts w:cs="Times New Roman"/>
          <w:szCs w:val="24"/>
          <w:lang w:val="bg-BG"/>
        </w:rPr>
        <w:t xml:space="preserve"> следва да се спазват до изтичане на срока на мониторинг.</w:t>
      </w:r>
    </w:p>
    <w:p w:rsidR="00FF0F1D" w:rsidRPr="00BD21AD" w:rsidRDefault="00FF0F1D" w:rsidP="00BD21AD">
      <w:pPr>
        <w:pStyle w:val="BodyText"/>
        <w:tabs>
          <w:tab w:val="center" w:pos="993"/>
        </w:tabs>
        <w:spacing w:line="276" w:lineRule="auto"/>
        <w:rPr>
          <w:rFonts w:cs="Times New Roman"/>
          <w:szCs w:val="24"/>
          <w:lang w:val="bg-BG"/>
        </w:rPr>
      </w:pPr>
    </w:p>
    <w:p w:rsidR="00FF0F1D" w:rsidRPr="00BD21AD" w:rsidRDefault="00FF0F1D" w:rsidP="00BD21AD">
      <w:pPr>
        <w:pStyle w:val="BodyText"/>
        <w:tabs>
          <w:tab w:val="center" w:pos="993"/>
        </w:tabs>
        <w:spacing w:line="276" w:lineRule="auto"/>
        <w:rPr>
          <w:rFonts w:cs="Times New Roman"/>
          <w:b/>
          <w:szCs w:val="24"/>
          <w:lang w:val="bg-BG"/>
        </w:rPr>
      </w:pPr>
      <w:r w:rsidRPr="00BD21AD">
        <w:rPr>
          <w:rFonts w:cs="Times New Roman"/>
          <w:b/>
          <w:szCs w:val="24"/>
          <w:lang w:val="bg-BG"/>
        </w:rPr>
        <w:t xml:space="preserve">5. Може ли да не се полага печат от банката на платежните нареждания и банковите извлечения на МИГ, ползвател по </w:t>
      </w:r>
      <w:proofErr w:type="spellStart"/>
      <w:r w:rsidRPr="00BD21AD">
        <w:rPr>
          <w:rFonts w:cs="Times New Roman"/>
          <w:b/>
          <w:szCs w:val="24"/>
          <w:lang w:val="bg-BG"/>
        </w:rPr>
        <w:t>подмярка</w:t>
      </w:r>
      <w:proofErr w:type="spellEnd"/>
      <w:r w:rsidRPr="00BD21AD">
        <w:rPr>
          <w:rFonts w:cs="Times New Roman"/>
          <w:b/>
          <w:szCs w:val="24"/>
          <w:lang w:val="bg-BG"/>
        </w:rPr>
        <w:t xml:space="preserve"> 19.4?</w:t>
      </w:r>
    </w:p>
    <w:p w:rsidR="00FF0F1D" w:rsidRPr="00BD21AD" w:rsidRDefault="00FF0F1D" w:rsidP="00BD21AD">
      <w:pPr>
        <w:pStyle w:val="BodyText"/>
        <w:tabs>
          <w:tab w:val="center" w:pos="993"/>
        </w:tabs>
        <w:spacing w:line="276" w:lineRule="auto"/>
        <w:rPr>
          <w:rFonts w:cs="Times New Roman"/>
          <w:szCs w:val="24"/>
          <w:lang w:val="bg-BG"/>
        </w:rPr>
      </w:pPr>
    </w:p>
    <w:p w:rsidR="00FF0F1D" w:rsidRPr="00BD21AD" w:rsidRDefault="00FF0F1D" w:rsidP="00BD21AD">
      <w:pPr>
        <w:pStyle w:val="BodyText"/>
        <w:tabs>
          <w:tab w:val="center" w:pos="993"/>
        </w:tabs>
        <w:spacing w:line="276" w:lineRule="auto"/>
        <w:rPr>
          <w:rFonts w:cs="Times New Roman"/>
          <w:szCs w:val="24"/>
          <w:lang w:val="bg-BG"/>
        </w:rPr>
      </w:pPr>
      <w:r w:rsidRPr="00BD21AD">
        <w:rPr>
          <w:rFonts w:cs="Times New Roman"/>
          <w:szCs w:val="24"/>
          <w:lang w:val="bg-BG"/>
        </w:rPr>
        <w:t>Предоставените платежни документи следва да са заверени от обслужващата банка.</w:t>
      </w:r>
    </w:p>
    <w:p w:rsidR="00FF0F1D" w:rsidRPr="00BD21AD" w:rsidRDefault="00FF0F1D" w:rsidP="00BD21AD">
      <w:pPr>
        <w:pStyle w:val="BodyText"/>
        <w:tabs>
          <w:tab w:val="center" w:pos="993"/>
        </w:tabs>
        <w:spacing w:line="276" w:lineRule="auto"/>
        <w:rPr>
          <w:rFonts w:cs="Times New Roman"/>
          <w:szCs w:val="24"/>
          <w:lang w:val="bg-BG"/>
        </w:rPr>
      </w:pPr>
    </w:p>
    <w:p w:rsidR="00FF0F1D" w:rsidRPr="00BD21AD" w:rsidRDefault="00FF0F1D" w:rsidP="00BD21AD">
      <w:pPr>
        <w:pStyle w:val="BodyText"/>
        <w:tabs>
          <w:tab w:val="center" w:pos="993"/>
        </w:tabs>
        <w:spacing w:line="276" w:lineRule="auto"/>
        <w:rPr>
          <w:rFonts w:cs="Times New Roman"/>
          <w:b/>
          <w:szCs w:val="24"/>
        </w:rPr>
      </w:pPr>
      <w:r w:rsidRPr="00BD21AD">
        <w:rPr>
          <w:rFonts w:cs="Times New Roman"/>
          <w:b/>
          <w:szCs w:val="24"/>
          <w:lang w:val="bg-BG"/>
        </w:rPr>
        <w:t>6. Кога започва да тече срокът за започване на реалното изпълнение на инвестицията</w:t>
      </w:r>
      <w:r w:rsidRPr="00BD21AD">
        <w:rPr>
          <w:rFonts w:cs="Times New Roman"/>
          <w:b/>
          <w:szCs w:val="24"/>
        </w:rPr>
        <w:t>?</w:t>
      </w:r>
    </w:p>
    <w:p w:rsidR="00FF0F1D" w:rsidRPr="00BD21AD" w:rsidRDefault="00FF0F1D" w:rsidP="00BD21AD">
      <w:pPr>
        <w:pStyle w:val="BodyText"/>
        <w:tabs>
          <w:tab w:val="center" w:pos="993"/>
        </w:tabs>
        <w:spacing w:line="276" w:lineRule="auto"/>
        <w:rPr>
          <w:rFonts w:cs="Times New Roman"/>
          <w:b/>
          <w:szCs w:val="24"/>
        </w:rPr>
      </w:pPr>
    </w:p>
    <w:p w:rsidR="00FF0F1D" w:rsidRPr="00BD21AD" w:rsidRDefault="00FF0F1D" w:rsidP="00BD21AD">
      <w:pPr>
        <w:pStyle w:val="BodyText"/>
        <w:tabs>
          <w:tab w:val="center" w:pos="993"/>
        </w:tabs>
        <w:spacing w:line="276" w:lineRule="auto"/>
        <w:rPr>
          <w:rFonts w:cs="Times New Roman"/>
          <w:szCs w:val="24"/>
          <w:lang w:val="bg-BG"/>
        </w:rPr>
      </w:pPr>
      <w:r w:rsidRPr="00BD21AD">
        <w:rPr>
          <w:rFonts w:cs="Times New Roman"/>
          <w:szCs w:val="24"/>
          <w:lang w:val="bg-BG"/>
        </w:rPr>
        <w:t xml:space="preserve">Бенефициентът трябва да започне реалното изпълнение на инвестицията и/или дейностите </w:t>
      </w:r>
      <w:r w:rsidRPr="00BD21AD">
        <w:rPr>
          <w:rFonts w:cs="Times New Roman"/>
          <w:szCs w:val="24"/>
          <w:u w:val="single"/>
          <w:lang w:val="bg-BG"/>
        </w:rPr>
        <w:t>в срок не по-дълъг от шест месеца от датата на подписване на договора</w:t>
      </w:r>
      <w:r w:rsidRPr="00BD21AD">
        <w:rPr>
          <w:rFonts w:cs="Times New Roman"/>
          <w:szCs w:val="24"/>
          <w:lang w:val="bg-BG"/>
        </w:rPr>
        <w:t>.</w:t>
      </w:r>
    </w:p>
    <w:p w:rsidR="00FF0F1D" w:rsidRPr="00BD21AD" w:rsidRDefault="00FF0F1D" w:rsidP="00BD21AD">
      <w:pPr>
        <w:pStyle w:val="BodyText"/>
        <w:tabs>
          <w:tab w:val="center" w:pos="993"/>
        </w:tabs>
        <w:spacing w:line="276" w:lineRule="auto"/>
        <w:rPr>
          <w:rFonts w:cs="Times New Roman"/>
          <w:szCs w:val="24"/>
          <w:lang w:val="bg-BG"/>
        </w:rPr>
      </w:pPr>
    </w:p>
    <w:p w:rsidR="00FF0F1D" w:rsidRPr="00BD21AD" w:rsidRDefault="00FF0F1D" w:rsidP="00BD21AD">
      <w:pPr>
        <w:pStyle w:val="BodyText"/>
        <w:tabs>
          <w:tab w:val="center" w:pos="993"/>
        </w:tabs>
        <w:spacing w:line="276" w:lineRule="auto"/>
        <w:rPr>
          <w:rFonts w:cs="Times New Roman"/>
          <w:szCs w:val="24"/>
          <w:lang w:val="bg-BG"/>
        </w:rPr>
      </w:pPr>
      <w:r w:rsidRPr="00BD21AD">
        <w:rPr>
          <w:rFonts w:cs="Times New Roman"/>
          <w:szCs w:val="24"/>
          <w:lang w:val="bg-BG"/>
        </w:rPr>
        <w:t xml:space="preserve">Бенефициентите, възложители по ПМС 160, трябва да започнат реалното изпълнение на инвестицията </w:t>
      </w:r>
      <w:r w:rsidRPr="00BD21AD">
        <w:rPr>
          <w:rFonts w:cs="Times New Roman"/>
          <w:szCs w:val="24"/>
          <w:u w:val="single"/>
          <w:lang w:val="bg-BG"/>
        </w:rPr>
        <w:t>в срок не по-дълъг от шест месеца от получаване на последното по време решение на ФОНДА за съгласуване на определянето на изпълнител за дейностите</w:t>
      </w:r>
      <w:r w:rsidRPr="00BD21AD">
        <w:rPr>
          <w:rFonts w:cs="Times New Roman"/>
          <w:szCs w:val="24"/>
          <w:lang w:val="bg-BG"/>
        </w:rPr>
        <w:t xml:space="preserve"> по строителство, услуги и/или доставки на стоки по одобрения проект, когато в него са предвидени разходи, които изпълняват условията на чл. 50, ал. 2 от ЗУСЕСИФ.</w:t>
      </w:r>
    </w:p>
    <w:p w:rsidR="00FF0F1D" w:rsidRPr="00BD21AD" w:rsidRDefault="00FF0F1D" w:rsidP="00BD21AD">
      <w:pPr>
        <w:pStyle w:val="BodyText"/>
        <w:tabs>
          <w:tab w:val="center" w:pos="993"/>
        </w:tabs>
        <w:spacing w:line="276" w:lineRule="auto"/>
        <w:rPr>
          <w:rFonts w:cs="Times New Roman"/>
          <w:szCs w:val="24"/>
          <w:lang w:val="bg-BG"/>
        </w:rPr>
      </w:pPr>
    </w:p>
    <w:p w:rsidR="00FF0F1D" w:rsidRPr="00BD21AD" w:rsidRDefault="00FF0F1D" w:rsidP="00BD21AD">
      <w:pPr>
        <w:pStyle w:val="BodyText"/>
        <w:tabs>
          <w:tab w:val="center" w:pos="993"/>
        </w:tabs>
        <w:spacing w:line="276" w:lineRule="auto"/>
        <w:rPr>
          <w:rFonts w:cs="Times New Roman"/>
          <w:szCs w:val="24"/>
          <w:lang w:val="bg-BG"/>
        </w:rPr>
      </w:pPr>
      <w:r w:rsidRPr="00BD21AD">
        <w:rPr>
          <w:rFonts w:cs="Times New Roman"/>
          <w:szCs w:val="24"/>
          <w:lang w:val="bg-BG"/>
        </w:rPr>
        <w:t xml:space="preserve">Бенефициентите, възложители по ЗОП, трябва да започнат реалното изпълнение на инвестицията </w:t>
      </w:r>
      <w:r w:rsidRPr="00BD21AD">
        <w:rPr>
          <w:rFonts w:cs="Times New Roman"/>
          <w:szCs w:val="24"/>
          <w:u w:val="single"/>
          <w:lang w:val="bg-BG"/>
        </w:rPr>
        <w:t>в срок до шест месеца от сключването на допълнително споразумение с ФОНДА към договора за вписване на избраните изпълнители</w:t>
      </w:r>
      <w:r w:rsidRPr="00BD21AD">
        <w:rPr>
          <w:rFonts w:cs="Times New Roman"/>
          <w:szCs w:val="24"/>
          <w:lang w:val="bg-BG"/>
        </w:rPr>
        <w:t xml:space="preserve"> за разходите по одобрения проект.</w:t>
      </w:r>
    </w:p>
    <w:p w:rsidR="00FF0F1D" w:rsidRPr="00BD21AD" w:rsidRDefault="00FF0F1D" w:rsidP="00BD21AD">
      <w:pPr>
        <w:pStyle w:val="BodyText"/>
        <w:tabs>
          <w:tab w:val="center" w:pos="993"/>
        </w:tabs>
        <w:spacing w:line="276" w:lineRule="auto"/>
        <w:rPr>
          <w:rFonts w:cs="Times New Roman"/>
          <w:szCs w:val="24"/>
          <w:lang w:val="bg-BG"/>
        </w:rPr>
      </w:pPr>
    </w:p>
    <w:p w:rsidR="00FF0F1D" w:rsidRPr="00BD21AD" w:rsidRDefault="00FF0F1D" w:rsidP="00BD21AD">
      <w:pPr>
        <w:pStyle w:val="BodyText"/>
        <w:tabs>
          <w:tab w:val="center" w:pos="993"/>
        </w:tabs>
        <w:spacing w:line="276" w:lineRule="auto"/>
        <w:rPr>
          <w:rFonts w:cs="Times New Roman"/>
          <w:szCs w:val="24"/>
        </w:rPr>
      </w:pPr>
      <w:r w:rsidRPr="00BD21AD">
        <w:rPr>
          <w:rFonts w:cs="Times New Roman"/>
          <w:szCs w:val="24"/>
          <w:lang w:val="bg-BG"/>
        </w:rPr>
        <w:t>“Надлежни доказателства за започване на изпълнението“ са: документ за извършено авансово или частично плащане в размер не по-малък от 20 на сто от размера на одобрената субсидия, издадена фактура за сума над посочения размер, подписани приемо-предавателни протоколи за извършени дейности по проекта на стойност не по-малка от посочената или др. подобни документи, удостоверяващи, че БЕНЕФИЦИЕНТЪТ е започнал изпълнението по отношение на инвестиция.</w:t>
      </w:r>
    </w:p>
    <w:p w:rsidR="00FF0F1D" w:rsidRPr="00BD21AD" w:rsidRDefault="00FF0F1D" w:rsidP="00BD21AD">
      <w:pPr>
        <w:pStyle w:val="BodyText"/>
        <w:tabs>
          <w:tab w:val="center" w:pos="993"/>
        </w:tabs>
        <w:spacing w:line="276" w:lineRule="auto"/>
        <w:rPr>
          <w:rFonts w:cs="Times New Roman"/>
          <w:b/>
          <w:szCs w:val="24"/>
          <w:lang w:val="bg-BG"/>
        </w:rPr>
      </w:pPr>
    </w:p>
    <w:p w:rsidR="00FF0F1D" w:rsidRPr="00BD21AD" w:rsidRDefault="00FF0F1D" w:rsidP="00BD21AD">
      <w:pPr>
        <w:pStyle w:val="BodyText"/>
        <w:tabs>
          <w:tab w:val="center" w:pos="993"/>
        </w:tabs>
        <w:spacing w:line="276" w:lineRule="auto"/>
        <w:rPr>
          <w:rFonts w:cs="Times New Roman"/>
          <w:b/>
          <w:szCs w:val="24"/>
          <w:lang w:val="bg-BG"/>
        </w:rPr>
      </w:pPr>
      <w:r w:rsidRPr="00BD21AD">
        <w:rPr>
          <w:rFonts w:cs="Times New Roman"/>
          <w:b/>
          <w:szCs w:val="24"/>
          <w:lang w:val="bg-BG"/>
        </w:rPr>
        <w:lastRenderedPageBreak/>
        <w:t>7. Какъв е срокът за подаване на искане за окончателно плащане?</w:t>
      </w:r>
    </w:p>
    <w:p w:rsidR="00FF0F1D" w:rsidRPr="00BD21AD" w:rsidRDefault="00FF0F1D" w:rsidP="00BD21AD">
      <w:pPr>
        <w:pStyle w:val="BodyText"/>
        <w:tabs>
          <w:tab w:val="center" w:pos="993"/>
        </w:tabs>
        <w:spacing w:line="276" w:lineRule="auto"/>
        <w:rPr>
          <w:rFonts w:cs="Times New Roman"/>
          <w:szCs w:val="24"/>
          <w:lang w:val="bg-BG"/>
        </w:rPr>
      </w:pPr>
    </w:p>
    <w:p w:rsidR="00FF0F1D" w:rsidRPr="00BD21AD" w:rsidRDefault="00FF0F1D" w:rsidP="00BD21AD">
      <w:pPr>
        <w:pStyle w:val="BodyText"/>
        <w:tabs>
          <w:tab w:val="center" w:pos="993"/>
        </w:tabs>
        <w:spacing w:line="276" w:lineRule="auto"/>
        <w:rPr>
          <w:rFonts w:cs="Times New Roman"/>
          <w:szCs w:val="24"/>
        </w:rPr>
      </w:pPr>
      <w:r w:rsidRPr="00BD21AD">
        <w:rPr>
          <w:rFonts w:cs="Times New Roman"/>
          <w:szCs w:val="24"/>
          <w:lang w:val="bg-BG"/>
        </w:rPr>
        <w:t xml:space="preserve">Съгласно текстовете на договорите по </w:t>
      </w:r>
      <w:proofErr w:type="spellStart"/>
      <w:r w:rsidRPr="00BD21AD">
        <w:rPr>
          <w:rFonts w:cs="Times New Roman"/>
          <w:szCs w:val="24"/>
          <w:lang w:val="bg-BG"/>
        </w:rPr>
        <w:t>подмярка</w:t>
      </w:r>
      <w:proofErr w:type="spellEnd"/>
      <w:r w:rsidRPr="00BD21AD">
        <w:rPr>
          <w:rFonts w:cs="Times New Roman"/>
          <w:szCs w:val="24"/>
          <w:lang w:val="bg-BG"/>
        </w:rPr>
        <w:t xml:space="preserve"> 19.2, бенефициентите трябва да подадат искане за окончателно плащане до изтичане на срока за извършване на инвестицията, посочен в договора. </w:t>
      </w:r>
    </w:p>
    <w:p w:rsidR="00FF0F1D" w:rsidRPr="00BD21AD" w:rsidRDefault="00FF0F1D" w:rsidP="00BD21AD">
      <w:pPr>
        <w:pStyle w:val="BodyText"/>
        <w:tabs>
          <w:tab w:val="center" w:pos="993"/>
        </w:tabs>
        <w:spacing w:line="276" w:lineRule="auto"/>
        <w:rPr>
          <w:rFonts w:cs="Times New Roman"/>
          <w:szCs w:val="24"/>
        </w:rPr>
      </w:pPr>
      <w:r w:rsidRPr="00BD21AD">
        <w:rPr>
          <w:rFonts w:cs="Times New Roman"/>
          <w:szCs w:val="24"/>
          <w:lang w:val="bg-BG"/>
        </w:rPr>
        <w:t>!!!Да се има предвид, че не е предвиден едномесечен срок за окомплектоване и подаване на заявка след изтичане на срока за изпълнение, заложен в договора.</w:t>
      </w:r>
    </w:p>
    <w:p w:rsidR="00FF0F1D" w:rsidRPr="00BD21AD" w:rsidRDefault="00FF0F1D" w:rsidP="00BD21AD">
      <w:pPr>
        <w:pStyle w:val="BodyText"/>
        <w:tabs>
          <w:tab w:val="center" w:pos="993"/>
        </w:tabs>
        <w:spacing w:line="276" w:lineRule="auto"/>
        <w:rPr>
          <w:rFonts w:cs="Times New Roman"/>
          <w:color w:val="FF0000"/>
          <w:szCs w:val="24"/>
          <w:lang w:val="bg-BG"/>
        </w:rPr>
      </w:pPr>
    </w:p>
    <w:p w:rsidR="00FF0F1D" w:rsidRPr="00BD21AD" w:rsidRDefault="00FF0F1D" w:rsidP="00BD21AD">
      <w:pPr>
        <w:pStyle w:val="BodyText"/>
        <w:tabs>
          <w:tab w:val="center" w:pos="993"/>
        </w:tabs>
        <w:spacing w:line="276" w:lineRule="auto"/>
        <w:rPr>
          <w:rFonts w:cs="Times New Roman"/>
          <w:b/>
          <w:szCs w:val="24"/>
          <w:lang w:val="bg-BG"/>
        </w:rPr>
      </w:pPr>
      <w:r w:rsidRPr="00BD21AD">
        <w:rPr>
          <w:rFonts w:cs="Times New Roman"/>
          <w:b/>
          <w:szCs w:val="24"/>
          <w:lang w:val="bg-BG"/>
        </w:rPr>
        <w:t>7. Какъв е срокът за подаване на искане за авансово плащане за възложители по ЗОП/ПМС 160?</w:t>
      </w:r>
    </w:p>
    <w:p w:rsidR="00FF0F1D" w:rsidRPr="00BD21AD" w:rsidRDefault="00FF0F1D" w:rsidP="00BD21AD">
      <w:pPr>
        <w:pStyle w:val="BodyText"/>
        <w:tabs>
          <w:tab w:val="center" w:pos="993"/>
        </w:tabs>
        <w:spacing w:line="276" w:lineRule="auto"/>
        <w:rPr>
          <w:rFonts w:cs="Times New Roman"/>
          <w:szCs w:val="24"/>
          <w:lang w:val="bg-BG"/>
        </w:rPr>
      </w:pPr>
    </w:p>
    <w:p w:rsidR="00FF0F1D" w:rsidRPr="00BD21AD" w:rsidRDefault="00FF0F1D" w:rsidP="00BD21AD">
      <w:pPr>
        <w:pStyle w:val="BodyText"/>
        <w:tabs>
          <w:tab w:val="center" w:pos="993"/>
        </w:tabs>
        <w:spacing w:line="276" w:lineRule="auto"/>
        <w:rPr>
          <w:rFonts w:cs="Times New Roman"/>
          <w:szCs w:val="24"/>
          <w:shd w:val="clear" w:color="auto" w:fill="FEFEFE"/>
          <w:lang w:val="bg-BG"/>
        </w:rPr>
      </w:pPr>
      <w:r w:rsidRPr="00BD21AD">
        <w:rPr>
          <w:rFonts w:cs="Times New Roman"/>
          <w:szCs w:val="24"/>
          <w:lang w:val="bg-BG"/>
        </w:rPr>
        <w:t xml:space="preserve">Съгласно изискванията на сключените договори по </w:t>
      </w:r>
      <w:proofErr w:type="spellStart"/>
      <w:r w:rsidRPr="00BD21AD">
        <w:rPr>
          <w:rFonts w:cs="Times New Roman"/>
          <w:szCs w:val="24"/>
          <w:lang w:val="bg-BG"/>
        </w:rPr>
        <w:t>подмярка</w:t>
      </w:r>
      <w:proofErr w:type="spellEnd"/>
      <w:r w:rsidRPr="00BD21AD">
        <w:rPr>
          <w:rFonts w:cs="Times New Roman"/>
          <w:szCs w:val="24"/>
          <w:lang w:val="bg-BG"/>
        </w:rPr>
        <w:t xml:space="preserve"> 19.2, авансовото плащане </w:t>
      </w:r>
      <w:r w:rsidRPr="00BD21AD">
        <w:rPr>
          <w:rFonts w:cs="Times New Roman"/>
          <w:szCs w:val="24"/>
          <w:shd w:val="clear" w:color="auto" w:fill="FEFEFE"/>
          <w:lang w:val="bg-BG"/>
        </w:rPr>
        <w:t>може да бъде заявено не по-късно от шест месеца след съгласуване на обществената поръчка</w:t>
      </w:r>
      <w:r w:rsidRPr="00BD21AD">
        <w:rPr>
          <w:rFonts w:cs="Times New Roman"/>
          <w:szCs w:val="24"/>
          <w:shd w:val="clear" w:color="auto" w:fill="FEFEFE"/>
        </w:rPr>
        <w:t>/</w:t>
      </w:r>
      <w:r w:rsidRPr="00BD21AD">
        <w:rPr>
          <w:rFonts w:cs="Times New Roman"/>
          <w:szCs w:val="24"/>
          <w:shd w:val="clear" w:color="auto" w:fill="FEFEFE"/>
          <w:lang w:val="bg-BG"/>
        </w:rPr>
        <w:t xml:space="preserve"> процедурата за избор на изпълнител по ЗУСЕСИФ и сключване на допълнително споразумение с ДФЗ - РА по административния договор за вписване на избрания изпълнител, </w:t>
      </w:r>
      <w:proofErr w:type="spellStart"/>
      <w:r w:rsidRPr="00BD21AD">
        <w:rPr>
          <w:rFonts w:cs="Times New Roman"/>
          <w:szCs w:val="24"/>
          <w:shd w:val="clear" w:color="auto" w:fill="FEFEFE"/>
          <w:lang w:val="bg-BG"/>
        </w:rPr>
        <w:t>т.е</w:t>
      </w:r>
      <w:proofErr w:type="spellEnd"/>
      <w:r w:rsidRPr="00BD21AD">
        <w:rPr>
          <w:rFonts w:cs="Times New Roman"/>
          <w:szCs w:val="24"/>
          <w:shd w:val="clear" w:color="auto" w:fill="FEFEFE"/>
          <w:lang w:val="bg-BG"/>
        </w:rPr>
        <w:t xml:space="preserve"> шестмесечният срок започва да тече от датата на сключване на допълнителното споразумение.</w:t>
      </w:r>
    </w:p>
    <w:p w:rsidR="00FF0F1D" w:rsidRPr="00BD21AD" w:rsidRDefault="00FF0F1D" w:rsidP="00BD21AD">
      <w:pPr>
        <w:pStyle w:val="BodyText"/>
        <w:tabs>
          <w:tab w:val="center" w:pos="993"/>
        </w:tabs>
        <w:spacing w:line="276" w:lineRule="auto"/>
        <w:rPr>
          <w:rFonts w:cs="Times New Roman"/>
          <w:szCs w:val="24"/>
          <w:lang w:val="bg-BG"/>
        </w:rPr>
      </w:pPr>
    </w:p>
    <w:p w:rsidR="00FF0F1D" w:rsidRPr="00BD21AD" w:rsidRDefault="00FF0F1D" w:rsidP="00BD21AD">
      <w:pPr>
        <w:pStyle w:val="BodyText"/>
        <w:tabs>
          <w:tab w:val="center" w:pos="993"/>
        </w:tabs>
        <w:spacing w:line="276" w:lineRule="auto"/>
        <w:rPr>
          <w:rFonts w:cs="Times New Roman"/>
          <w:szCs w:val="24"/>
          <w:shd w:val="clear" w:color="auto" w:fill="FEFEFE"/>
          <w:lang w:val="bg-BG"/>
        </w:rPr>
      </w:pPr>
      <w:r w:rsidRPr="00BD21AD">
        <w:rPr>
          <w:rFonts w:cs="Times New Roman"/>
          <w:szCs w:val="24"/>
          <w:lang w:val="bg-BG"/>
        </w:rPr>
        <w:t>Обръщаме внимание, че бенефициентите възложели по ЗОП/ПМС 160, следва да подадат искане за авансово, междинно или окончателно плащане след съгласуване на обществените поръчки/процедурите за избор на изпълнител с публична покана</w:t>
      </w:r>
      <w:r w:rsidRPr="00BD21AD">
        <w:rPr>
          <w:rFonts w:cs="Times New Roman"/>
          <w:szCs w:val="24"/>
        </w:rPr>
        <w:t xml:space="preserve"> (</w:t>
      </w:r>
      <w:r w:rsidRPr="00BD21AD">
        <w:rPr>
          <w:rFonts w:cs="Times New Roman"/>
          <w:szCs w:val="24"/>
          <w:lang w:val="bg-BG"/>
        </w:rPr>
        <w:t>ПМС 160</w:t>
      </w:r>
      <w:r w:rsidRPr="00BD21AD">
        <w:rPr>
          <w:rFonts w:cs="Times New Roman"/>
          <w:szCs w:val="24"/>
        </w:rPr>
        <w:t>)</w:t>
      </w:r>
      <w:r w:rsidRPr="00BD21AD">
        <w:rPr>
          <w:rFonts w:cs="Times New Roman"/>
          <w:szCs w:val="24"/>
          <w:lang w:val="bg-BG"/>
        </w:rPr>
        <w:t xml:space="preserve"> от страна на ДФЗ и </w:t>
      </w:r>
      <w:r w:rsidRPr="00BD21AD">
        <w:rPr>
          <w:rFonts w:cs="Times New Roman"/>
          <w:szCs w:val="24"/>
          <w:shd w:val="clear" w:color="auto" w:fill="FEFEFE"/>
          <w:lang w:val="bg-BG"/>
        </w:rPr>
        <w:t>сключване на допълнително споразумение с Фонда по административния договор за вписване на избрания изпълнител.</w:t>
      </w:r>
    </w:p>
    <w:p w:rsidR="00FF0F1D" w:rsidRPr="00BD21AD" w:rsidRDefault="00FF0F1D" w:rsidP="00BD21AD">
      <w:pPr>
        <w:pStyle w:val="BodyText"/>
        <w:tabs>
          <w:tab w:val="center" w:pos="993"/>
        </w:tabs>
        <w:spacing w:line="276" w:lineRule="auto"/>
        <w:rPr>
          <w:rFonts w:cs="Times New Roman"/>
          <w:szCs w:val="24"/>
          <w:lang w:val="bg-BG"/>
        </w:rPr>
      </w:pPr>
      <w:r w:rsidRPr="00BD21AD">
        <w:rPr>
          <w:rFonts w:cs="Times New Roman"/>
          <w:szCs w:val="24"/>
          <w:lang w:val="bg-BG"/>
        </w:rPr>
        <w:t xml:space="preserve">Бенефициентът може да получи авансово плащане в размер до 50 на сто от стойността на одобрената финансова помощ </w:t>
      </w:r>
      <w:r w:rsidRPr="00BD21AD">
        <w:rPr>
          <w:rFonts w:cs="Times New Roman"/>
          <w:szCs w:val="24"/>
          <w:u w:val="single"/>
          <w:lang w:val="bg-BG"/>
        </w:rPr>
        <w:t>за инвестиционни разходи</w:t>
      </w:r>
      <w:r w:rsidRPr="00BD21AD">
        <w:rPr>
          <w:rFonts w:cs="Times New Roman"/>
          <w:szCs w:val="24"/>
          <w:lang w:val="bg-BG"/>
        </w:rPr>
        <w:t xml:space="preserve">, посочени в Приложение № 1 „Таблица за одобрени инвестиции и дейности“ от договора и които са </w:t>
      </w:r>
      <w:r w:rsidRPr="00BD21AD">
        <w:rPr>
          <w:rFonts w:cs="Times New Roman"/>
          <w:szCs w:val="24"/>
          <w:u w:val="single"/>
          <w:lang w:val="bg-BG"/>
        </w:rPr>
        <w:t>в съответствие с чл. 45 от Регламент (ЕС) № 1305/2013 г.</w:t>
      </w:r>
      <w:r w:rsidRPr="00BD21AD">
        <w:rPr>
          <w:rFonts w:cs="Times New Roman"/>
          <w:szCs w:val="24"/>
          <w:lang w:val="bg-BG"/>
        </w:rPr>
        <w:t xml:space="preserve">, но само в случай че надвишават левовата равностойност на 2000 евро. </w:t>
      </w:r>
    </w:p>
    <w:p w:rsidR="00FF0F1D" w:rsidRPr="00BD21AD" w:rsidRDefault="00FF0F1D" w:rsidP="00BD21AD">
      <w:pPr>
        <w:pStyle w:val="BodyText"/>
        <w:tabs>
          <w:tab w:val="center" w:pos="993"/>
        </w:tabs>
        <w:spacing w:line="276" w:lineRule="auto"/>
        <w:rPr>
          <w:rFonts w:cs="Times New Roman"/>
          <w:szCs w:val="24"/>
          <w:lang w:val="bg-BG"/>
        </w:rPr>
      </w:pPr>
      <w:r w:rsidRPr="00BD21AD">
        <w:rPr>
          <w:rFonts w:cs="Times New Roman"/>
          <w:szCs w:val="24"/>
          <w:lang w:val="bg-BG"/>
        </w:rPr>
        <w:t>Бенефициентите, които са възложители по ЗОП имат право на авансово плащане не повече от два пъти за периода на изпълнение на проекта, а останалите бенефициента имат право на авансово плащане не повече от един път за периода на изпълнение на проекта.</w:t>
      </w:r>
    </w:p>
    <w:p w:rsidR="00FF0F1D" w:rsidRPr="00BD21AD" w:rsidRDefault="00FF0F1D" w:rsidP="00BD21AD">
      <w:pPr>
        <w:pStyle w:val="BodyText"/>
        <w:tabs>
          <w:tab w:val="center" w:pos="993"/>
        </w:tabs>
        <w:spacing w:line="276" w:lineRule="auto"/>
        <w:rPr>
          <w:rFonts w:cs="Times New Roman"/>
          <w:color w:val="FF0000"/>
          <w:szCs w:val="24"/>
          <w:lang w:val="bg-BG"/>
        </w:rPr>
      </w:pPr>
    </w:p>
    <w:p w:rsidR="00FF0F1D" w:rsidRPr="00BD21AD" w:rsidRDefault="00FF0F1D" w:rsidP="00BD21AD">
      <w:pPr>
        <w:tabs>
          <w:tab w:val="left" w:pos="851"/>
        </w:tabs>
        <w:spacing w:line="276" w:lineRule="auto"/>
        <w:jc w:val="both"/>
        <w:rPr>
          <w:rFonts w:ascii="Times New Roman" w:hAnsi="Times New Roman" w:cs="Times New Roman"/>
          <w:sz w:val="24"/>
          <w:szCs w:val="24"/>
        </w:rPr>
      </w:pPr>
    </w:p>
    <w:p w:rsidR="00FF0F1D" w:rsidRPr="00BD21AD" w:rsidRDefault="00FF0F1D" w:rsidP="00BD21AD">
      <w:pPr>
        <w:spacing w:line="276" w:lineRule="auto"/>
        <w:jc w:val="both"/>
        <w:rPr>
          <w:rFonts w:ascii="Times New Roman" w:hAnsi="Times New Roman" w:cs="Times New Roman"/>
          <w:b/>
          <w:sz w:val="24"/>
          <w:szCs w:val="24"/>
        </w:rPr>
      </w:pPr>
    </w:p>
    <w:p w:rsidR="00FF0F1D" w:rsidRPr="00BD21AD" w:rsidRDefault="00FF0F1D" w:rsidP="00BD21AD">
      <w:pPr>
        <w:spacing w:line="276" w:lineRule="auto"/>
        <w:jc w:val="both"/>
        <w:rPr>
          <w:rFonts w:ascii="Times New Roman" w:hAnsi="Times New Roman" w:cs="Times New Roman"/>
          <w:sz w:val="24"/>
          <w:szCs w:val="24"/>
        </w:rPr>
      </w:pPr>
    </w:p>
    <w:p w:rsidR="00FF0F1D" w:rsidRPr="00BD21AD" w:rsidRDefault="00FF0F1D" w:rsidP="00BD21AD">
      <w:pPr>
        <w:spacing w:line="276" w:lineRule="auto"/>
        <w:jc w:val="both"/>
        <w:rPr>
          <w:rFonts w:ascii="Times New Roman" w:hAnsi="Times New Roman" w:cs="Times New Roman"/>
          <w:sz w:val="24"/>
          <w:szCs w:val="24"/>
        </w:rPr>
      </w:pPr>
    </w:p>
    <w:p w:rsidR="00FF0F1D" w:rsidRPr="00BD21AD" w:rsidRDefault="00FF0F1D" w:rsidP="00BD21AD">
      <w:pPr>
        <w:spacing w:line="276" w:lineRule="auto"/>
        <w:jc w:val="both"/>
        <w:rPr>
          <w:rFonts w:ascii="Times New Roman" w:hAnsi="Times New Roman" w:cs="Times New Roman"/>
          <w:sz w:val="24"/>
          <w:szCs w:val="24"/>
        </w:rPr>
      </w:pPr>
    </w:p>
    <w:p w:rsidR="008C3042" w:rsidRPr="00BD21AD" w:rsidRDefault="008C3042" w:rsidP="00BD21AD">
      <w:pPr>
        <w:spacing w:line="276" w:lineRule="auto"/>
        <w:jc w:val="both"/>
        <w:rPr>
          <w:rFonts w:ascii="Times New Roman" w:hAnsi="Times New Roman" w:cs="Times New Roman"/>
          <w:sz w:val="24"/>
          <w:szCs w:val="24"/>
          <w:lang w:val="en-US"/>
        </w:rPr>
      </w:pPr>
    </w:p>
    <w:sectPr w:rsidR="008C3042" w:rsidRPr="00BD21AD" w:rsidSect="00A345E8">
      <w:footerReference w:type="default" r:id="rId7"/>
      <w:pgSz w:w="11906" w:h="16838"/>
      <w:pgMar w:top="709" w:right="991" w:bottom="568" w:left="1417" w:header="708"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56F" w:rsidRDefault="00BB156F" w:rsidP="0020789E">
      <w:pPr>
        <w:spacing w:after="0" w:line="240" w:lineRule="auto"/>
      </w:pPr>
      <w:r>
        <w:separator/>
      </w:r>
    </w:p>
  </w:endnote>
  <w:endnote w:type="continuationSeparator" w:id="0">
    <w:p w:rsidR="00BB156F" w:rsidRDefault="00BB156F" w:rsidP="0020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955592"/>
      <w:docPartObj>
        <w:docPartGallery w:val="Page Numbers (Bottom of Page)"/>
        <w:docPartUnique/>
      </w:docPartObj>
    </w:sdtPr>
    <w:sdtEndPr/>
    <w:sdtContent>
      <w:sdt>
        <w:sdtPr>
          <w:id w:val="-1769616900"/>
          <w:docPartObj>
            <w:docPartGallery w:val="Page Numbers (Top of Page)"/>
            <w:docPartUnique/>
          </w:docPartObj>
        </w:sdtPr>
        <w:sdtEndPr/>
        <w:sdtContent>
          <w:p w:rsidR="0020789E" w:rsidRDefault="0020789E">
            <w:pPr>
              <w:pStyle w:val="Footer"/>
              <w:jc w:val="right"/>
            </w:pPr>
            <w:r w:rsidRPr="0020789E">
              <w:rPr>
                <w:rFonts w:ascii="Times New Roman" w:hAnsi="Times New Roman" w:cs="Times New Roman"/>
                <w:sz w:val="20"/>
                <w:szCs w:val="20"/>
              </w:rPr>
              <w:t>Стр.</w:t>
            </w:r>
            <w:r>
              <w:rPr>
                <w:rFonts w:ascii="Times New Roman" w:hAnsi="Times New Roman" w:cs="Times New Roman"/>
                <w:sz w:val="20"/>
                <w:szCs w:val="20"/>
              </w:rPr>
              <w:t xml:space="preserve"> </w:t>
            </w:r>
            <w:r w:rsidRPr="0020789E">
              <w:rPr>
                <w:rFonts w:ascii="Times New Roman" w:hAnsi="Times New Roman" w:cs="Times New Roman"/>
                <w:bCs/>
                <w:sz w:val="20"/>
                <w:szCs w:val="20"/>
              </w:rPr>
              <w:fldChar w:fldCharType="begin"/>
            </w:r>
            <w:r w:rsidRPr="0020789E">
              <w:rPr>
                <w:rFonts w:ascii="Times New Roman" w:hAnsi="Times New Roman" w:cs="Times New Roman"/>
                <w:bCs/>
                <w:sz w:val="20"/>
                <w:szCs w:val="20"/>
              </w:rPr>
              <w:instrText xml:space="preserve"> PAGE </w:instrText>
            </w:r>
            <w:r w:rsidRPr="0020789E">
              <w:rPr>
                <w:rFonts w:ascii="Times New Roman" w:hAnsi="Times New Roman" w:cs="Times New Roman"/>
                <w:bCs/>
                <w:sz w:val="20"/>
                <w:szCs w:val="20"/>
              </w:rPr>
              <w:fldChar w:fldCharType="separate"/>
            </w:r>
            <w:r w:rsidR="00F63092">
              <w:rPr>
                <w:rFonts w:ascii="Times New Roman" w:hAnsi="Times New Roman" w:cs="Times New Roman"/>
                <w:bCs/>
                <w:sz w:val="20"/>
                <w:szCs w:val="20"/>
              </w:rPr>
              <w:t>15</w:t>
            </w:r>
            <w:r w:rsidRPr="0020789E">
              <w:rPr>
                <w:rFonts w:ascii="Times New Roman" w:hAnsi="Times New Roman" w:cs="Times New Roman"/>
                <w:bCs/>
                <w:sz w:val="20"/>
                <w:szCs w:val="20"/>
              </w:rPr>
              <w:fldChar w:fldCharType="end"/>
            </w:r>
            <w:r w:rsidRPr="0020789E">
              <w:rPr>
                <w:rFonts w:ascii="Times New Roman" w:hAnsi="Times New Roman" w:cs="Times New Roman"/>
                <w:sz w:val="20"/>
                <w:szCs w:val="20"/>
              </w:rPr>
              <w:t xml:space="preserve"> от </w:t>
            </w:r>
            <w:r w:rsidRPr="0020789E">
              <w:rPr>
                <w:rFonts w:ascii="Times New Roman" w:hAnsi="Times New Roman" w:cs="Times New Roman"/>
                <w:bCs/>
                <w:sz w:val="20"/>
                <w:szCs w:val="20"/>
              </w:rPr>
              <w:fldChar w:fldCharType="begin"/>
            </w:r>
            <w:r w:rsidRPr="0020789E">
              <w:rPr>
                <w:rFonts w:ascii="Times New Roman" w:hAnsi="Times New Roman" w:cs="Times New Roman"/>
                <w:bCs/>
                <w:sz w:val="20"/>
                <w:szCs w:val="20"/>
              </w:rPr>
              <w:instrText xml:space="preserve"> NUMPAGES  </w:instrText>
            </w:r>
            <w:r w:rsidRPr="0020789E">
              <w:rPr>
                <w:rFonts w:ascii="Times New Roman" w:hAnsi="Times New Roman" w:cs="Times New Roman"/>
                <w:bCs/>
                <w:sz w:val="20"/>
                <w:szCs w:val="20"/>
              </w:rPr>
              <w:fldChar w:fldCharType="separate"/>
            </w:r>
            <w:r w:rsidR="00F63092">
              <w:rPr>
                <w:rFonts w:ascii="Times New Roman" w:hAnsi="Times New Roman" w:cs="Times New Roman"/>
                <w:bCs/>
                <w:sz w:val="20"/>
                <w:szCs w:val="20"/>
              </w:rPr>
              <w:t>15</w:t>
            </w:r>
            <w:r w:rsidRPr="0020789E">
              <w:rPr>
                <w:rFonts w:ascii="Times New Roman" w:hAnsi="Times New Roman" w:cs="Times New Roman"/>
                <w:bCs/>
                <w:sz w:val="20"/>
                <w:szCs w:val="20"/>
              </w:rPr>
              <w:fldChar w:fldCharType="end"/>
            </w:r>
          </w:p>
        </w:sdtContent>
      </w:sdt>
    </w:sdtContent>
  </w:sdt>
  <w:p w:rsidR="0020789E" w:rsidRDefault="00207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56F" w:rsidRDefault="00BB156F" w:rsidP="0020789E">
      <w:pPr>
        <w:spacing w:after="0" w:line="240" w:lineRule="auto"/>
      </w:pPr>
      <w:r>
        <w:separator/>
      </w:r>
    </w:p>
  </w:footnote>
  <w:footnote w:type="continuationSeparator" w:id="0">
    <w:p w:rsidR="00BB156F" w:rsidRDefault="00BB156F" w:rsidP="00207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172B"/>
    <w:multiLevelType w:val="hybridMultilevel"/>
    <w:tmpl w:val="F4B0AF86"/>
    <w:lvl w:ilvl="0" w:tplc="6D0CDACC">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C9B51FB"/>
    <w:multiLevelType w:val="hybridMultilevel"/>
    <w:tmpl w:val="6AC0A72A"/>
    <w:lvl w:ilvl="0" w:tplc="78AE5124">
      <w:start w:val="1"/>
      <w:numFmt w:val="bullet"/>
      <w:lvlText w:val=""/>
      <w:lvlJc w:val="left"/>
      <w:pPr>
        <w:ind w:left="1287" w:hanging="360"/>
      </w:pPr>
      <w:rPr>
        <w:rFonts w:ascii="Symbol" w:hAnsi="Symbol" w:hint="default"/>
        <w:color w:val="auto"/>
      </w:rPr>
    </w:lvl>
    <w:lvl w:ilvl="1" w:tplc="08090003">
      <w:start w:val="1"/>
      <w:numFmt w:val="bullet"/>
      <w:lvlText w:val="o"/>
      <w:lvlJc w:val="left"/>
      <w:pPr>
        <w:ind w:left="2007" w:hanging="360"/>
      </w:pPr>
      <w:rPr>
        <w:rFonts w:ascii="Courier New" w:hAnsi="Courier New" w:cs="Courier New" w:hint="default"/>
      </w:rPr>
    </w:lvl>
    <w:lvl w:ilvl="2" w:tplc="04020019">
      <w:start w:val="1"/>
      <w:numFmt w:val="bullet"/>
      <w:lvlText w:val="o"/>
      <w:lvlJc w:val="left"/>
      <w:pPr>
        <w:ind w:left="2727" w:hanging="360"/>
      </w:pPr>
      <w:rPr>
        <w:rFonts w:ascii="Courier New" w:hAnsi="Courier New"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780FC3"/>
    <w:multiLevelType w:val="hybridMultilevel"/>
    <w:tmpl w:val="5CF6CBFA"/>
    <w:lvl w:ilvl="0" w:tplc="6D0CDACC">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7552C64"/>
    <w:multiLevelType w:val="hybridMultilevel"/>
    <w:tmpl w:val="7EEEECC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CC92717"/>
    <w:multiLevelType w:val="hybridMultilevel"/>
    <w:tmpl w:val="A58EB8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468648B6"/>
    <w:multiLevelType w:val="hybridMultilevel"/>
    <w:tmpl w:val="3F4494A6"/>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6" w15:restartNumberingAfterBreak="0">
    <w:nsid w:val="5FE177D3"/>
    <w:multiLevelType w:val="hybridMultilevel"/>
    <w:tmpl w:val="43D4A70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65EC5E37"/>
    <w:multiLevelType w:val="hybridMultilevel"/>
    <w:tmpl w:val="41F019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67"/>
    <w:rsid w:val="00014DC2"/>
    <w:rsid w:val="00022FE5"/>
    <w:rsid w:val="00026A1F"/>
    <w:rsid w:val="00027762"/>
    <w:rsid w:val="00035CC5"/>
    <w:rsid w:val="0004117C"/>
    <w:rsid w:val="00044C29"/>
    <w:rsid w:val="000610AA"/>
    <w:rsid w:val="00073E04"/>
    <w:rsid w:val="000812A8"/>
    <w:rsid w:val="00096724"/>
    <w:rsid w:val="000A69AB"/>
    <w:rsid w:val="000B0303"/>
    <w:rsid w:val="000B18CF"/>
    <w:rsid w:val="000B7DFD"/>
    <w:rsid w:val="000C5F90"/>
    <w:rsid w:val="000D0CB5"/>
    <w:rsid w:val="000D180D"/>
    <w:rsid w:val="000D6BC6"/>
    <w:rsid w:val="000E0465"/>
    <w:rsid w:val="000E58DD"/>
    <w:rsid w:val="000F010B"/>
    <w:rsid w:val="000F1DDC"/>
    <w:rsid w:val="000F5E40"/>
    <w:rsid w:val="00101FBD"/>
    <w:rsid w:val="00105280"/>
    <w:rsid w:val="0012251E"/>
    <w:rsid w:val="001369E2"/>
    <w:rsid w:val="00141267"/>
    <w:rsid w:val="00151550"/>
    <w:rsid w:val="00154471"/>
    <w:rsid w:val="00162D93"/>
    <w:rsid w:val="00170AA9"/>
    <w:rsid w:val="00173E86"/>
    <w:rsid w:val="001759F5"/>
    <w:rsid w:val="001955B6"/>
    <w:rsid w:val="001B37AE"/>
    <w:rsid w:val="001B6A3C"/>
    <w:rsid w:val="001C2A4D"/>
    <w:rsid w:val="001D272C"/>
    <w:rsid w:val="001D7771"/>
    <w:rsid w:val="001E7933"/>
    <w:rsid w:val="001F4126"/>
    <w:rsid w:val="00205F79"/>
    <w:rsid w:val="00206A3B"/>
    <w:rsid w:val="0020789E"/>
    <w:rsid w:val="00210E7E"/>
    <w:rsid w:val="00211125"/>
    <w:rsid w:val="002154ED"/>
    <w:rsid w:val="00225D03"/>
    <w:rsid w:val="0023032B"/>
    <w:rsid w:val="002310BF"/>
    <w:rsid w:val="002443C3"/>
    <w:rsid w:val="00245CCC"/>
    <w:rsid w:val="00246866"/>
    <w:rsid w:val="0025340D"/>
    <w:rsid w:val="00260161"/>
    <w:rsid w:val="002618A2"/>
    <w:rsid w:val="00264BBD"/>
    <w:rsid w:val="002909E8"/>
    <w:rsid w:val="0029322A"/>
    <w:rsid w:val="002A02AA"/>
    <w:rsid w:val="002A388F"/>
    <w:rsid w:val="002A62A7"/>
    <w:rsid w:val="002A77BB"/>
    <w:rsid w:val="002B4C37"/>
    <w:rsid w:val="002D07C7"/>
    <w:rsid w:val="002D14CD"/>
    <w:rsid w:val="002E0951"/>
    <w:rsid w:val="002F05DD"/>
    <w:rsid w:val="002F79BA"/>
    <w:rsid w:val="00300C3A"/>
    <w:rsid w:val="00300D3C"/>
    <w:rsid w:val="003023B5"/>
    <w:rsid w:val="00312093"/>
    <w:rsid w:val="0031747D"/>
    <w:rsid w:val="00331959"/>
    <w:rsid w:val="0034041D"/>
    <w:rsid w:val="003525CE"/>
    <w:rsid w:val="003540A8"/>
    <w:rsid w:val="0035614B"/>
    <w:rsid w:val="00360843"/>
    <w:rsid w:val="0036262D"/>
    <w:rsid w:val="003637A5"/>
    <w:rsid w:val="003716BA"/>
    <w:rsid w:val="003806D4"/>
    <w:rsid w:val="0038257A"/>
    <w:rsid w:val="00382C1F"/>
    <w:rsid w:val="00385CD7"/>
    <w:rsid w:val="00397AAF"/>
    <w:rsid w:val="003A25A3"/>
    <w:rsid w:val="003B252F"/>
    <w:rsid w:val="003D0048"/>
    <w:rsid w:val="003D4FED"/>
    <w:rsid w:val="003F03D3"/>
    <w:rsid w:val="003F1BCC"/>
    <w:rsid w:val="00401C63"/>
    <w:rsid w:val="00410AB4"/>
    <w:rsid w:val="00420097"/>
    <w:rsid w:val="00422261"/>
    <w:rsid w:val="004225D1"/>
    <w:rsid w:val="004322E1"/>
    <w:rsid w:val="00443267"/>
    <w:rsid w:val="004633A9"/>
    <w:rsid w:val="004778C7"/>
    <w:rsid w:val="0049578E"/>
    <w:rsid w:val="004B3A90"/>
    <w:rsid w:val="004B3DEB"/>
    <w:rsid w:val="004B4B6A"/>
    <w:rsid w:val="004B4CEA"/>
    <w:rsid w:val="004B5808"/>
    <w:rsid w:val="004C164A"/>
    <w:rsid w:val="004C782B"/>
    <w:rsid w:val="004D0727"/>
    <w:rsid w:val="004D679F"/>
    <w:rsid w:val="004E38F6"/>
    <w:rsid w:val="004E6578"/>
    <w:rsid w:val="004F15F0"/>
    <w:rsid w:val="004F38D1"/>
    <w:rsid w:val="00503184"/>
    <w:rsid w:val="005138FE"/>
    <w:rsid w:val="00525BF3"/>
    <w:rsid w:val="00532478"/>
    <w:rsid w:val="00534F24"/>
    <w:rsid w:val="00536DFB"/>
    <w:rsid w:val="0054489E"/>
    <w:rsid w:val="00552262"/>
    <w:rsid w:val="005625D0"/>
    <w:rsid w:val="00566DC9"/>
    <w:rsid w:val="005815F6"/>
    <w:rsid w:val="005825DB"/>
    <w:rsid w:val="005830EF"/>
    <w:rsid w:val="005B5CED"/>
    <w:rsid w:val="005C34A6"/>
    <w:rsid w:val="005C723D"/>
    <w:rsid w:val="005D5F29"/>
    <w:rsid w:val="005E1E7D"/>
    <w:rsid w:val="005F084A"/>
    <w:rsid w:val="005F096A"/>
    <w:rsid w:val="006025FF"/>
    <w:rsid w:val="0060597E"/>
    <w:rsid w:val="00607910"/>
    <w:rsid w:val="00612759"/>
    <w:rsid w:val="0061732D"/>
    <w:rsid w:val="006219B0"/>
    <w:rsid w:val="0062345D"/>
    <w:rsid w:val="00634343"/>
    <w:rsid w:val="00634CC9"/>
    <w:rsid w:val="0064074E"/>
    <w:rsid w:val="00653509"/>
    <w:rsid w:val="006673AC"/>
    <w:rsid w:val="006743E9"/>
    <w:rsid w:val="00677C65"/>
    <w:rsid w:val="006A4D44"/>
    <w:rsid w:val="006F025B"/>
    <w:rsid w:val="006F2F0D"/>
    <w:rsid w:val="006F4C98"/>
    <w:rsid w:val="00703941"/>
    <w:rsid w:val="007067C7"/>
    <w:rsid w:val="00722681"/>
    <w:rsid w:val="007324F0"/>
    <w:rsid w:val="007327A7"/>
    <w:rsid w:val="00733C9F"/>
    <w:rsid w:val="0073595D"/>
    <w:rsid w:val="00737464"/>
    <w:rsid w:val="00743685"/>
    <w:rsid w:val="00744547"/>
    <w:rsid w:val="00760024"/>
    <w:rsid w:val="00771509"/>
    <w:rsid w:val="00782E61"/>
    <w:rsid w:val="00792D0B"/>
    <w:rsid w:val="00794BE5"/>
    <w:rsid w:val="007A06E2"/>
    <w:rsid w:val="007A0FE6"/>
    <w:rsid w:val="007A2ADD"/>
    <w:rsid w:val="007A31A0"/>
    <w:rsid w:val="007B0688"/>
    <w:rsid w:val="007B1FE4"/>
    <w:rsid w:val="007B5395"/>
    <w:rsid w:val="007B5D58"/>
    <w:rsid w:val="007B69C9"/>
    <w:rsid w:val="007C22EE"/>
    <w:rsid w:val="007C245A"/>
    <w:rsid w:val="007C74B2"/>
    <w:rsid w:val="007D179F"/>
    <w:rsid w:val="007D3AAB"/>
    <w:rsid w:val="007D6AA9"/>
    <w:rsid w:val="007E5177"/>
    <w:rsid w:val="007F479C"/>
    <w:rsid w:val="00803C55"/>
    <w:rsid w:val="008059C8"/>
    <w:rsid w:val="00814067"/>
    <w:rsid w:val="0081618A"/>
    <w:rsid w:val="00816464"/>
    <w:rsid w:val="00816F22"/>
    <w:rsid w:val="0082117F"/>
    <w:rsid w:val="00830CB2"/>
    <w:rsid w:val="00830E49"/>
    <w:rsid w:val="00834831"/>
    <w:rsid w:val="0083530C"/>
    <w:rsid w:val="00846134"/>
    <w:rsid w:val="008545F4"/>
    <w:rsid w:val="008736A5"/>
    <w:rsid w:val="008939B6"/>
    <w:rsid w:val="008A5FF2"/>
    <w:rsid w:val="008A7C9A"/>
    <w:rsid w:val="008B1328"/>
    <w:rsid w:val="008B1B8C"/>
    <w:rsid w:val="008C0800"/>
    <w:rsid w:val="008C0C3F"/>
    <w:rsid w:val="008C23CB"/>
    <w:rsid w:val="008C3042"/>
    <w:rsid w:val="008D24EC"/>
    <w:rsid w:val="008D43F5"/>
    <w:rsid w:val="008E30B9"/>
    <w:rsid w:val="008E5680"/>
    <w:rsid w:val="008E7E86"/>
    <w:rsid w:val="009065AB"/>
    <w:rsid w:val="009163C2"/>
    <w:rsid w:val="00921C79"/>
    <w:rsid w:val="00922737"/>
    <w:rsid w:val="00927437"/>
    <w:rsid w:val="00933717"/>
    <w:rsid w:val="00936C12"/>
    <w:rsid w:val="00943035"/>
    <w:rsid w:val="009444C9"/>
    <w:rsid w:val="00953446"/>
    <w:rsid w:val="00961C91"/>
    <w:rsid w:val="0097065B"/>
    <w:rsid w:val="00974D9E"/>
    <w:rsid w:val="00976F49"/>
    <w:rsid w:val="009870BD"/>
    <w:rsid w:val="00996BC9"/>
    <w:rsid w:val="009A0299"/>
    <w:rsid w:val="009A17BB"/>
    <w:rsid w:val="009A42E4"/>
    <w:rsid w:val="009B7462"/>
    <w:rsid w:val="009C3C6C"/>
    <w:rsid w:val="009D43F6"/>
    <w:rsid w:val="009D5446"/>
    <w:rsid w:val="009D66AD"/>
    <w:rsid w:val="009E3378"/>
    <w:rsid w:val="009F5556"/>
    <w:rsid w:val="00A0314E"/>
    <w:rsid w:val="00A042EE"/>
    <w:rsid w:val="00A311BD"/>
    <w:rsid w:val="00A345E8"/>
    <w:rsid w:val="00A37464"/>
    <w:rsid w:val="00A45794"/>
    <w:rsid w:val="00A53721"/>
    <w:rsid w:val="00A57AD0"/>
    <w:rsid w:val="00A64B6C"/>
    <w:rsid w:val="00A70C0D"/>
    <w:rsid w:val="00A71730"/>
    <w:rsid w:val="00A77E07"/>
    <w:rsid w:val="00A81481"/>
    <w:rsid w:val="00AB0887"/>
    <w:rsid w:val="00AB18B9"/>
    <w:rsid w:val="00AB5D4A"/>
    <w:rsid w:val="00AC0270"/>
    <w:rsid w:val="00AC1487"/>
    <w:rsid w:val="00AC32F9"/>
    <w:rsid w:val="00AC7FEB"/>
    <w:rsid w:val="00AD0C1E"/>
    <w:rsid w:val="00AF2A56"/>
    <w:rsid w:val="00B1155E"/>
    <w:rsid w:val="00B324B3"/>
    <w:rsid w:val="00B331C2"/>
    <w:rsid w:val="00B35673"/>
    <w:rsid w:val="00B4012B"/>
    <w:rsid w:val="00B42743"/>
    <w:rsid w:val="00B549D6"/>
    <w:rsid w:val="00B62591"/>
    <w:rsid w:val="00B71A48"/>
    <w:rsid w:val="00B82B80"/>
    <w:rsid w:val="00B90778"/>
    <w:rsid w:val="00B9301A"/>
    <w:rsid w:val="00B948A4"/>
    <w:rsid w:val="00BA0EDD"/>
    <w:rsid w:val="00BB0FC5"/>
    <w:rsid w:val="00BB156F"/>
    <w:rsid w:val="00BB4416"/>
    <w:rsid w:val="00BB5606"/>
    <w:rsid w:val="00BD21AD"/>
    <w:rsid w:val="00BF2AA9"/>
    <w:rsid w:val="00BF7796"/>
    <w:rsid w:val="00C065A9"/>
    <w:rsid w:val="00C1593E"/>
    <w:rsid w:val="00C265F5"/>
    <w:rsid w:val="00C27704"/>
    <w:rsid w:val="00C30978"/>
    <w:rsid w:val="00C31A61"/>
    <w:rsid w:val="00C34926"/>
    <w:rsid w:val="00C370AB"/>
    <w:rsid w:val="00C536A8"/>
    <w:rsid w:val="00C634ED"/>
    <w:rsid w:val="00C66EC2"/>
    <w:rsid w:val="00C72B95"/>
    <w:rsid w:val="00CB2C9B"/>
    <w:rsid w:val="00CB7210"/>
    <w:rsid w:val="00CC26F9"/>
    <w:rsid w:val="00CD2F43"/>
    <w:rsid w:val="00CD312F"/>
    <w:rsid w:val="00CE4DCC"/>
    <w:rsid w:val="00D01E27"/>
    <w:rsid w:val="00D05766"/>
    <w:rsid w:val="00D21CD5"/>
    <w:rsid w:val="00D3186F"/>
    <w:rsid w:val="00D46168"/>
    <w:rsid w:val="00D4713D"/>
    <w:rsid w:val="00D5139B"/>
    <w:rsid w:val="00D51439"/>
    <w:rsid w:val="00D524C4"/>
    <w:rsid w:val="00D53A25"/>
    <w:rsid w:val="00D61006"/>
    <w:rsid w:val="00D66BCB"/>
    <w:rsid w:val="00D67255"/>
    <w:rsid w:val="00D711CB"/>
    <w:rsid w:val="00D7319C"/>
    <w:rsid w:val="00D775C6"/>
    <w:rsid w:val="00D83159"/>
    <w:rsid w:val="00D85FD9"/>
    <w:rsid w:val="00D92FBB"/>
    <w:rsid w:val="00D9544A"/>
    <w:rsid w:val="00D95D71"/>
    <w:rsid w:val="00DB3063"/>
    <w:rsid w:val="00DB689B"/>
    <w:rsid w:val="00DC2CB1"/>
    <w:rsid w:val="00DC3D2B"/>
    <w:rsid w:val="00DF2033"/>
    <w:rsid w:val="00DF28E6"/>
    <w:rsid w:val="00DF2BCE"/>
    <w:rsid w:val="00DF55F0"/>
    <w:rsid w:val="00E30D2E"/>
    <w:rsid w:val="00E310F1"/>
    <w:rsid w:val="00E560ED"/>
    <w:rsid w:val="00E7040E"/>
    <w:rsid w:val="00E70A05"/>
    <w:rsid w:val="00EA79BE"/>
    <w:rsid w:val="00EC4E7E"/>
    <w:rsid w:val="00ED6A9D"/>
    <w:rsid w:val="00EE4545"/>
    <w:rsid w:val="00F002DD"/>
    <w:rsid w:val="00F06D31"/>
    <w:rsid w:val="00F12045"/>
    <w:rsid w:val="00F2163B"/>
    <w:rsid w:val="00F33D69"/>
    <w:rsid w:val="00F4054E"/>
    <w:rsid w:val="00F43446"/>
    <w:rsid w:val="00F439D1"/>
    <w:rsid w:val="00F63092"/>
    <w:rsid w:val="00F636BB"/>
    <w:rsid w:val="00F63850"/>
    <w:rsid w:val="00F877CD"/>
    <w:rsid w:val="00F95390"/>
    <w:rsid w:val="00FB00E0"/>
    <w:rsid w:val="00FB2672"/>
    <w:rsid w:val="00FB2BF7"/>
    <w:rsid w:val="00FD2151"/>
    <w:rsid w:val="00FE6B65"/>
    <w:rsid w:val="00FE797F"/>
    <w:rsid w:val="00FF0F1D"/>
    <w:rsid w:val="00FF4F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533A306-2F7A-47A1-8CFA-03215305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8E7E86"/>
    <w:pPr>
      <w:suppressAutoHyphens/>
      <w:spacing w:after="0" w:line="240" w:lineRule="auto"/>
      <w:jc w:val="both"/>
    </w:pPr>
    <w:rPr>
      <w:rFonts w:ascii="Times New Roman" w:eastAsia="Times New Roman" w:hAnsi="Times New Roman" w:cs="Calibri"/>
      <w:noProof w:val="0"/>
      <w:sz w:val="24"/>
      <w:szCs w:val="20"/>
      <w:lang w:val="en-US" w:eastAsia="ar-SA"/>
    </w:rPr>
  </w:style>
  <w:style w:type="character" w:customStyle="1" w:styleId="BodyTextChar">
    <w:name w:val="Body Text Char"/>
    <w:basedOn w:val="DefaultParagraphFont"/>
    <w:uiPriority w:val="99"/>
    <w:semiHidden/>
    <w:rsid w:val="008E7E86"/>
    <w:rPr>
      <w:noProof/>
    </w:rPr>
  </w:style>
  <w:style w:type="character" w:customStyle="1" w:styleId="BodyTextChar1">
    <w:name w:val="Body Text Char1"/>
    <w:basedOn w:val="DefaultParagraphFont"/>
    <w:link w:val="BodyText"/>
    <w:rsid w:val="008E7E86"/>
    <w:rPr>
      <w:rFonts w:ascii="Times New Roman" w:eastAsia="Times New Roman" w:hAnsi="Times New Roman" w:cs="Calibri"/>
      <w:sz w:val="24"/>
      <w:szCs w:val="20"/>
      <w:lang w:val="en-US" w:eastAsia="ar-SA"/>
    </w:rPr>
  </w:style>
  <w:style w:type="paragraph" w:styleId="Header">
    <w:name w:val="header"/>
    <w:basedOn w:val="Normal"/>
    <w:link w:val="HeaderChar"/>
    <w:uiPriority w:val="99"/>
    <w:unhideWhenUsed/>
    <w:rsid w:val="002078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789E"/>
    <w:rPr>
      <w:noProof/>
    </w:rPr>
  </w:style>
  <w:style w:type="paragraph" w:styleId="Footer">
    <w:name w:val="footer"/>
    <w:basedOn w:val="Normal"/>
    <w:link w:val="FooterChar"/>
    <w:uiPriority w:val="99"/>
    <w:unhideWhenUsed/>
    <w:rsid w:val="002078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789E"/>
    <w:rPr>
      <w:noProof/>
    </w:rPr>
  </w:style>
  <w:style w:type="paragraph" w:styleId="BalloonText">
    <w:name w:val="Balloon Text"/>
    <w:basedOn w:val="Normal"/>
    <w:link w:val="BalloonTextChar"/>
    <w:uiPriority w:val="99"/>
    <w:semiHidden/>
    <w:unhideWhenUsed/>
    <w:rsid w:val="00BA0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EDD"/>
    <w:rPr>
      <w:rFonts w:ascii="Segoe UI" w:hAnsi="Segoe UI" w:cs="Segoe UI"/>
      <w:noProof/>
      <w:sz w:val="18"/>
      <w:szCs w:val="18"/>
    </w:rPr>
  </w:style>
  <w:style w:type="paragraph" w:styleId="ListParagraph">
    <w:name w:val="List Paragraph"/>
    <w:basedOn w:val="Normal"/>
    <w:uiPriority w:val="99"/>
    <w:qFormat/>
    <w:rsid w:val="001F4126"/>
    <w:pPr>
      <w:ind w:left="720"/>
      <w:contextualSpacing/>
    </w:pPr>
  </w:style>
  <w:style w:type="character" w:customStyle="1" w:styleId="ala2">
    <w:name w:val="al_a2"/>
    <w:basedOn w:val="DefaultParagraphFont"/>
    <w:rsid w:val="00B82B80"/>
    <w:rPr>
      <w:vanish w:val="0"/>
      <w:webHidden w:val="0"/>
      <w:specVanish w:val="0"/>
    </w:rPr>
  </w:style>
  <w:style w:type="character" w:customStyle="1" w:styleId="alb2">
    <w:name w:val="al_b2"/>
    <w:basedOn w:val="DefaultParagraphFont"/>
    <w:rsid w:val="00B82B8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83287">
      <w:bodyDiv w:val="1"/>
      <w:marLeft w:val="0"/>
      <w:marRight w:val="0"/>
      <w:marTop w:val="0"/>
      <w:marBottom w:val="0"/>
      <w:divBdr>
        <w:top w:val="none" w:sz="0" w:space="0" w:color="auto"/>
        <w:left w:val="none" w:sz="0" w:space="0" w:color="auto"/>
        <w:bottom w:val="none" w:sz="0" w:space="0" w:color="auto"/>
        <w:right w:val="none" w:sz="0" w:space="0" w:color="auto"/>
      </w:divBdr>
    </w:div>
    <w:div w:id="904145317">
      <w:bodyDiv w:val="1"/>
      <w:marLeft w:val="0"/>
      <w:marRight w:val="0"/>
      <w:marTop w:val="0"/>
      <w:marBottom w:val="0"/>
      <w:divBdr>
        <w:top w:val="none" w:sz="0" w:space="0" w:color="auto"/>
        <w:left w:val="none" w:sz="0" w:space="0" w:color="auto"/>
        <w:bottom w:val="none" w:sz="0" w:space="0" w:color="auto"/>
        <w:right w:val="none" w:sz="0" w:space="0" w:color="auto"/>
      </w:divBdr>
    </w:div>
    <w:div w:id="934636361">
      <w:bodyDiv w:val="1"/>
      <w:marLeft w:val="0"/>
      <w:marRight w:val="0"/>
      <w:marTop w:val="0"/>
      <w:marBottom w:val="0"/>
      <w:divBdr>
        <w:top w:val="none" w:sz="0" w:space="0" w:color="auto"/>
        <w:left w:val="none" w:sz="0" w:space="0" w:color="auto"/>
        <w:bottom w:val="none" w:sz="0" w:space="0" w:color="auto"/>
        <w:right w:val="none" w:sz="0" w:space="0" w:color="auto"/>
      </w:divBdr>
    </w:div>
    <w:div w:id="1067344183">
      <w:bodyDiv w:val="1"/>
      <w:marLeft w:val="0"/>
      <w:marRight w:val="0"/>
      <w:marTop w:val="0"/>
      <w:marBottom w:val="0"/>
      <w:divBdr>
        <w:top w:val="none" w:sz="0" w:space="0" w:color="auto"/>
        <w:left w:val="none" w:sz="0" w:space="0" w:color="auto"/>
        <w:bottom w:val="none" w:sz="0" w:space="0" w:color="auto"/>
        <w:right w:val="none" w:sz="0" w:space="0" w:color="auto"/>
      </w:divBdr>
    </w:div>
    <w:div w:id="1271202346">
      <w:bodyDiv w:val="1"/>
      <w:marLeft w:val="0"/>
      <w:marRight w:val="0"/>
      <w:marTop w:val="0"/>
      <w:marBottom w:val="0"/>
      <w:divBdr>
        <w:top w:val="none" w:sz="0" w:space="0" w:color="auto"/>
        <w:left w:val="none" w:sz="0" w:space="0" w:color="auto"/>
        <w:bottom w:val="none" w:sz="0" w:space="0" w:color="auto"/>
        <w:right w:val="none" w:sz="0" w:space="0" w:color="auto"/>
      </w:divBdr>
    </w:div>
    <w:div w:id="1821917389">
      <w:bodyDiv w:val="1"/>
      <w:marLeft w:val="0"/>
      <w:marRight w:val="0"/>
      <w:marTop w:val="0"/>
      <w:marBottom w:val="0"/>
      <w:divBdr>
        <w:top w:val="none" w:sz="0" w:space="0" w:color="auto"/>
        <w:left w:val="none" w:sz="0" w:space="0" w:color="auto"/>
        <w:bottom w:val="none" w:sz="0" w:space="0" w:color="auto"/>
        <w:right w:val="none" w:sz="0" w:space="0" w:color="auto"/>
      </w:divBdr>
    </w:div>
    <w:div w:id="1923836559">
      <w:bodyDiv w:val="1"/>
      <w:marLeft w:val="0"/>
      <w:marRight w:val="0"/>
      <w:marTop w:val="0"/>
      <w:marBottom w:val="0"/>
      <w:divBdr>
        <w:top w:val="none" w:sz="0" w:space="0" w:color="auto"/>
        <w:left w:val="none" w:sz="0" w:space="0" w:color="auto"/>
        <w:bottom w:val="none" w:sz="0" w:space="0" w:color="auto"/>
        <w:right w:val="none" w:sz="0" w:space="0" w:color="auto"/>
      </w:divBdr>
    </w:div>
    <w:div w:id="1947999464">
      <w:bodyDiv w:val="1"/>
      <w:marLeft w:val="0"/>
      <w:marRight w:val="0"/>
      <w:marTop w:val="0"/>
      <w:marBottom w:val="0"/>
      <w:divBdr>
        <w:top w:val="none" w:sz="0" w:space="0" w:color="auto"/>
        <w:left w:val="none" w:sz="0" w:space="0" w:color="auto"/>
        <w:bottom w:val="none" w:sz="0" w:space="0" w:color="auto"/>
        <w:right w:val="none" w:sz="0" w:space="0" w:color="auto"/>
      </w:divBdr>
    </w:div>
    <w:div w:id="20248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TotalTime>
  <Pages>15</Pages>
  <Words>6176</Words>
  <Characters>35205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Pavlina Shotarova</dc:creator>
  <cp:keywords/>
  <dc:description/>
  <cp:lastModifiedBy>Pavlina Shotarova</cp:lastModifiedBy>
  <cp:revision>649</cp:revision>
  <cp:lastPrinted>2021-08-19T06:40:00Z</cp:lastPrinted>
  <dcterms:created xsi:type="dcterms:W3CDTF">2021-08-02T09:47:00Z</dcterms:created>
  <dcterms:modified xsi:type="dcterms:W3CDTF">2021-08-20T12:47:00Z</dcterms:modified>
</cp:coreProperties>
</file>